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3919" w14:textId="7DF5F8F9" w:rsidR="00504D5C" w:rsidRPr="00504D5C" w:rsidRDefault="00892D03" w:rsidP="00504D5C">
      <w:pPr>
        <w:spacing w:before="60" w:after="60"/>
        <w:rPr>
          <w:b/>
          <w:bCs/>
          <w:sz w:val="28"/>
          <w:szCs w:val="28"/>
        </w:rPr>
      </w:pPr>
      <w:r>
        <w:rPr>
          <w:noProof/>
        </w:rPr>
        <w:drawing>
          <wp:anchor distT="0" distB="0" distL="114300" distR="114300" simplePos="0" relativeHeight="251658240" behindDoc="1" locked="0" layoutInCell="1" allowOverlap="1" wp14:anchorId="11EE4903" wp14:editId="3BE1B74A">
            <wp:simplePos x="0" y="0"/>
            <wp:positionH relativeFrom="margin">
              <wp:align>right</wp:align>
            </wp:positionH>
            <wp:positionV relativeFrom="topMargin">
              <wp:posOffset>287020</wp:posOffset>
            </wp:positionV>
            <wp:extent cx="1471930" cy="665480"/>
            <wp:effectExtent l="0" t="0" r="0" b="1270"/>
            <wp:wrapTight wrapText="bothSides">
              <wp:wrapPolygon edited="0">
                <wp:start x="7548" y="0"/>
                <wp:lineTo x="0" y="6802"/>
                <wp:lineTo x="0" y="9893"/>
                <wp:lineTo x="2516" y="21023"/>
                <wp:lineTo x="21246" y="21023"/>
                <wp:lineTo x="21246" y="10511"/>
                <wp:lineTo x="6430" y="9893"/>
                <wp:lineTo x="9505" y="1855"/>
                <wp:lineTo x="9225" y="0"/>
                <wp:lineTo x="7548"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71930" cy="665480"/>
                    </a:xfrm>
                    <a:prstGeom prst="rect">
                      <a:avLst/>
                    </a:prstGeom>
                  </pic:spPr>
                </pic:pic>
              </a:graphicData>
            </a:graphic>
            <wp14:sizeRelH relativeFrom="margin">
              <wp14:pctWidth>0</wp14:pctWidth>
            </wp14:sizeRelH>
            <wp14:sizeRelV relativeFrom="margin">
              <wp14:pctHeight>0</wp14:pctHeight>
            </wp14:sizeRelV>
          </wp:anchor>
        </w:drawing>
      </w:r>
      <w:r w:rsidR="0097143E">
        <w:rPr>
          <w:b/>
          <w:bCs/>
          <w:sz w:val="28"/>
          <w:szCs w:val="28"/>
        </w:rPr>
        <w:t>DDO g</w:t>
      </w:r>
      <w:r w:rsidR="00504D5C" w:rsidRPr="00504D5C">
        <w:rPr>
          <w:b/>
          <w:bCs/>
          <w:sz w:val="28"/>
          <w:szCs w:val="28"/>
        </w:rPr>
        <w:t xml:space="preserve">uidance </w:t>
      </w:r>
      <w:r>
        <w:rPr>
          <w:b/>
          <w:bCs/>
          <w:sz w:val="28"/>
          <w:szCs w:val="28"/>
        </w:rPr>
        <w:t>on</w:t>
      </w:r>
      <w:r w:rsidR="00504D5C" w:rsidRPr="00504D5C">
        <w:rPr>
          <w:b/>
          <w:bCs/>
          <w:sz w:val="28"/>
          <w:szCs w:val="28"/>
        </w:rPr>
        <w:t xml:space="preserve"> </w:t>
      </w:r>
      <w:r w:rsidR="006B1B1B">
        <w:rPr>
          <w:b/>
          <w:bCs/>
          <w:sz w:val="28"/>
          <w:szCs w:val="28"/>
        </w:rPr>
        <w:t xml:space="preserve">distribution of </w:t>
      </w:r>
      <w:r w:rsidR="00B51180">
        <w:rPr>
          <w:b/>
          <w:bCs/>
          <w:sz w:val="28"/>
          <w:szCs w:val="28"/>
        </w:rPr>
        <w:t>managed funds</w:t>
      </w:r>
    </w:p>
    <w:p w14:paraId="5EDC5CDC" w14:textId="6D74D21C" w:rsidR="00470CE2" w:rsidRPr="00470CE2" w:rsidRDefault="00470CE2" w:rsidP="00470CE2">
      <w:pPr>
        <w:spacing w:before="60" w:after="60"/>
        <w:rPr>
          <w:i/>
          <w:iCs/>
          <w:sz w:val="24"/>
          <w:szCs w:val="24"/>
        </w:rPr>
      </w:pPr>
      <w:r w:rsidRPr="00470CE2">
        <w:rPr>
          <w:i/>
          <w:iCs/>
          <w:sz w:val="24"/>
          <w:szCs w:val="24"/>
        </w:rPr>
        <w:t xml:space="preserve">This document </w:t>
      </w:r>
      <w:r w:rsidR="00D166A4">
        <w:rPr>
          <w:i/>
          <w:iCs/>
          <w:sz w:val="24"/>
          <w:szCs w:val="24"/>
        </w:rPr>
        <w:t xml:space="preserve">is </w:t>
      </w:r>
      <w:r w:rsidRPr="00470CE2">
        <w:rPr>
          <w:i/>
          <w:iCs/>
          <w:sz w:val="24"/>
          <w:szCs w:val="24"/>
        </w:rPr>
        <w:t xml:space="preserve">guidance </w:t>
      </w:r>
      <w:r w:rsidR="0097143E">
        <w:rPr>
          <w:i/>
          <w:iCs/>
          <w:sz w:val="24"/>
          <w:szCs w:val="24"/>
        </w:rPr>
        <w:t xml:space="preserve">about issues relating to </w:t>
      </w:r>
      <w:r w:rsidR="00B026EB">
        <w:rPr>
          <w:i/>
          <w:iCs/>
          <w:sz w:val="24"/>
          <w:szCs w:val="24"/>
        </w:rPr>
        <w:t xml:space="preserve">the distribution of </w:t>
      </w:r>
      <w:r w:rsidR="0097143E">
        <w:rPr>
          <w:i/>
          <w:iCs/>
          <w:sz w:val="24"/>
          <w:szCs w:val="24"/>
        </w:rPr>
        <w:t xml:space="preserve">managed funds under </w:t>
      </w:r>
      <w:r w:rsidRPr="00470CE2">
        <w:rPr>
          <w:i/>
          <w:iCs/>
          <w:sz w:val="24"/>
          <w:szCs w:val="24"/>
        </w:rPr>
        <w:t>the Design and Distribution Obligations (</w:t>
      </w:r>
      <w:r w:rsidRPr="00470CE2">
        <w:rPr>
          <w:b/>
          <w:bCs/>
          <w:i/>
          <w:iCs/>
          <w:sz w:val="24"/>
          <w:szCs w:val="24"/>
        </w:rPr>
        <w:t>DDO</w:t>
      </w:r>
      <w:r w:rsidRPr="00470CE2">
        <w:rPr>
          <w:i/>
          <w:iCs/>
          <w:sz w:val="24"/>
          <w:szCs w:val="24"/>
        </w:rPr>
        <w:t>) under the Corporations Act 2001 (</w:t>
      </w:r>
      <w:proofErr w:type="spellStart"/>
      <w:r w:rsidRPr="00470CE2">
        <w:rPr>
          <w:i/>
          <w:iCs/>
          <w:sz w:val="24"/>
          <w:szCs w:val="24"/>
        </w:rPr>
        <w:t>Cth</w:t>
      </w:r>
      <w:proofErr w:type="spellEnd"/>
      <w:r w:rsidRPr="00470CE2">
        <w:rPr>
          <w:i/>
          <w:iCs/>
          <w:sz w:val="24"/>
          <w:szCs w:val="24"/>
        </w:rPr>
        <w:t>)</w:t>
      </w:r>
      <w:r w:rsidR="009065F7">
        <w:rPr>
          <w:i/>
          <w:iCs/>
          <w:sz w:val="24"/>
          <w:szCs w:val="24"/>
        </w:rPr>
        <w:t xml:space="preserve"> (</w:t>
      </w:r>
      <w:r w:rsidR="009065F7" w:rsidRPr="009065F7">
        <w:rPr>
          <w:b/>
          <w:bCs/>
          <w:i/>
          <w:iCs/>
          <w:sz w:val="24"/>
          <w:szCs w:val="24"/>
        </w:rPr>
        <w:t>the Act</w:t>
      </w:r>
      <w:r w:rsidR="009065F7">
        <w:rPr>
          <w:i/>
          <w:iCs/>
          <w:sz w:val="24"/>
          <w:szCs w:val="24"/>
        </w:rPr>
        <w:t>)</w:t>
      </w:r>
      <w:r w:rsidRPr="00470CE2">
        <w:rPr>
          <w:i/>
          <w:iCs/>
          <w:sz w:val="24"/>
          <w:szCs w:val="24"/>
        </w:rPr>
        <w:t xml:space="preserve">. It is a matter for each user of this guidance to consider their individual situation and to comply with the new regime. This </w:t>
      </w:r>
      <w:r w:rsidR="007B5DC0">
        <w:rPr>
          <w:i/>
          <w:iCs/>
          <w:sz w:val="24"/>
          <w:szCs w:val="24"/>
        </w:rPr>
        <w:t xml:space="preserve">guidance </w:t>
      </w:r>
      <w:r w:rsidR="00B824DD">
        <w:rPr>
          <w:i/>
          <w:iCs/>
          <w:sz w:val="24"/>
          <w:szCs w:val="24"/>
        </w:rPr>
        <w:t xml:space="preserve">is not exhaustive and </w:t>
      </w:r>
      <w:r w:rsidRPr="00470CE2">
        <w:rPr>
          <w:i/>
          <w:iCs/>
          <w:sz w:val="24"/>
          <w:szCs w:val="24"/>
        </w:rPr>
        <w:t xml:space="preserve">does not necessarily cover all obligations under the DDO regime. Whether a business uses this </w:t>
      </w:r>
      <w:r w:rsidR="00B824DD">
        <w:rPr>
          <w:i/>
          <w:iCs/>
          <w:sz w:val="24"/>
          <w:szCs w:val="24"/>
        </w:rPr>
        <w:t>guidance</w:t>
      </w:r>
      <w:r w:rsidRPr="00470CE2">
        <w:rPr>
          <w:i/>
          <w:iCs/>
          <w:sz w:val="24"/>
          <w:szCs w:val="24"/>
        </w:rPr>
        <w:t xml:space="preserve">, in whole or in part, is a decision for each business. There is no requirement or expectation that any business uses this document. </w:t>
      </w:r>
    </w:p>
    <w:p w14:paraId="04C041DC" w14:textId="57AD7859" w:rsidR="00F73EEA" w:rsidRPr="00F74D6A" w:rsidRDefault="00F73EEA" w:rsidP="00504D5C">
      <w:pPr>
        <w:spacing w:before="60" w:after="60"/>
        <w:rPr>
          <w:i/>
          <w:iCs/>
          <w:sz w:val="24"/>
          <w:szCs w:val="24"/>
        </w:rPr>
      </w:pPr>
      <w:r>
        <w:rPr>
          <w:i/>
          <w:iCs/>
          <w:sz w:val="24"/>
          <w:szCs w:val="24"/>
        </w:rPr>
        <w:t>This document does not form legal advice.</w:t>
      </w:r>
      <w:r w:rsidR="004F10B8">
        <w:rPr>
          <w:i/>
          <w:iCs/>
          <w:sz w:val="24"/>
          <w:szCs w:val="24"/>
        </w:rPr>
        <w:t xml:space="preserve"> </w:t>
      </w:r>
    </w:p>
    <w:p w14:paraId="6F1885C9" w14:textId="469E0602" w:rsidR="00F74D6A" w:rsidRDefault="00F74D6A" w:rsidP="00504D5C">
      <w:pPr>
        <w:spacing w:before="60" w:after="60"/>
        <w:rPr>
          <w:sz w:val="24"/>
          <w:szCs w:val="24"/>
        </w:rPr>
      </w:pPr>
    </w:p>
    <w:p w14:paraId="451CA022" w14:textId="136E4533" w:rsidR="00F62BAD" w:rsidRPr="00F62BAD" w:rsidRDefault="00F62BAD" w:rsidP="00504D5C">
      <w:pPr>
        <w:spacing w:before="60" w:after="60"/>
        <w:rPr>
          <w:b/>
          <w:bCs/>
          <w:sz w:val="24"/>
          <w:szCs w:val="24"/>
        </w:rPr>
      </w:pPr>
      <w:r>
        <w:rPr>
          <w:b/>
          <w:bCs/>
          <w:sz w:val="24"/>
          <w:szCs w:val="24"/>
        </w:rPr>
        <w:t>Introduction</w:t>
      </w:r>
    </w:p>
    <w:p w14:paraId="0B06C39F" w14:textId="1D7EAC19" w:rsidR="00A21BA1" w:rsidRDefault="00085801" w:rsidP="00504D5C">
      <w:pPr>
        <w:spacing w:before="60" w:after="60"/>
        <w:rPr>
          <w:sz w:val="24"/>
          <w:szCs w:val="24"/>
        </w:rPr>
      </w:pPr>
      <w:r>
        <w:rPr>
          <w:sz w:val="24"/>
          <w:szCs w:val="24"/>
        </w:rPr>
        <w:t xml:space="preserve">The DDO regime is </w:t>
      </w:r>
      <w:r w:rsidR="004D1E91">
        <w:rPr>
          <w:sz w:val="24"/>
          <w:szCs w:val="24"/>
        </w:rPr>
        <w:t xml:space="preserve">intended to help customers obtain appropriate financial products by requiring </w:t>
      </w:r>
      <w:r w:rsidR="009F5475">
        <w:rPr>
          <w:sz w:val="24"/>
          <w:szCs w:val="24"/>
        </w:rPr>
        <w:t>issuers and distributors to focus on consumers when design</w:t>
      </w:r>
      <w:r w:rsidR="00391AAE">
        <w:rPr>
          <w:sz w:val="24"/>
          <w:szCs w:val="24"/>
        </w:rPr>
        <w:t>ing</w:t>
      </w:r>
      <w:r w:rsidR="009F5475">
        <w:rPr>
          <w:sz w:val="24"/>
          <w:szCs w:val="24"/>
        </w:rPr>
        <w:t xml:space="preserve"> and distributing products.</w:t>
      </w:r>
      <w:r w:rsidR="00D4580D">
        <w:rPr>
          <w:sz w:val="24"/>
          <w:szCs w:val="24"/>
        </w:rPr>
        <w:t xml:space="preserve"> </w:t>
      </w:r>
      <w:r w:rsidR="00ED5ED6">
        <w:rPr>
          <w:sz w:val="24"/>
          <w:szCs w:val="24"/>
        </w:rPr>
        <w:t>Consequently, the DDO regime focusses on reducing risks of harm to individual consumers</w:t>
      </w:r>
      <w:r w:rsidR="00F572E4">
        <w:rPr>
          <w:sz w:val="24"/>
          <w:szCs w:val="24"/>
        </w:rPr>
        <w:t xml:space="preserve">. </w:t>
      </w:r>
    </w:p>
    <w:p w14:paraId="47183F5D" w14:textId="75218B8A" w:rsidR="004473A0" w:rsidRDefault="00F572E4" w:rsidP="00504D5C">
      <w:pPr>
        <w:spacing w:before="60" w:after="60"/>
        <w:rPr>
          <w:sz w:val="24"/>
          <w:szCs w:val="24"/>
        </w:rPr>
      </w:pPr>
      <w:r>
        <w:rPr>
          <w:sz w:val="24"/>
          <w:szCs w:val="24"/>
        </w:rPr>
        <w:t xml:space="preserve">In particular, the regime requires </w:t>
      </w:r>
      <w:r w:rsidR="004473A0">
        <w:rPr>
          <w:sz w:val="24"/>
          <w:szCs w:val="24"/>
        </w:rPr>
        <w:t>issuers to identify which classes of customers are in the target market for a product</w:t>
      </w:r>
      <w:r w:rsidR="00A21BA1">
        <w:rPr>
          <w:sz w:val="24"/>
          <w:szCs w:val="24"/>
        </w:rPr>
        <w:t xml:space="preserve">, and then requires both issuers and distributors (other than financial advisers) to take reasonable steps to direct distribution towards customers inside that target market. </w:t>
      </w:r>
      <w:r w:rsidR="00F62BAD">
        <w:rPr>
          <w:sz w:val="24"/>
          <w:szCs w:val="24"/>
        </w:rPr>
        <w:t xml:space="preserve">This should reduce the risk that financial customers enter products </w:t>
      </w:r>
      <w:r w:rsidR="00157D91">
        <w:rPr>
          <w:sz w:val="24"/>
          <w:szCs w:val="24"/>
        </w:rPr>
        <w:t>that they are not suitable for.</w:t>
      </w:r>
    </w:p>
    <w:p w14:paraId="785C1BEB" w14:textId="6FCA796C" w:rsidR="006A22E5" w:rsidRDefault="00157D91" w:rsidP="00504D5C">
      <w:pPr>
        <w:spacing w:before="60" w:after="60"/>
        <w:rPr>
          <w:sz w:val="24"/>
          <w:szCs w:val="24"/>
        </w:rPr>
      </w:pPr>
      <w:r>
        <w:rPr>
          <w:sz w:val="24"/>
          <w:szCs w:val="24"/>
        </w:rPr>
        <w:t>In this context, m</w:t>
      </w:r>
      <w:r w:rsidR="005F6CA1">
        <w:rPr>
          <w:sz w:val="24"/>
          <w:szCs w:val="24"/>
        </w:rPr>
        <w:t>embers of the Financial Services Council (</w:t>
      </w:r>
      <w:r w:rsidR="005F6CA1" w:rsidRPr="00157D91">
        <w:rPr>
          <w:b/>
          <w:bCs/>
          <w:sz w:val="24"/>
          <w:szCs w:val="24"/>
        </w:rPr>
        <w:t>FSC</w:t>
      </w:r>
      <w:r w:rsidR="005F6CA1">
        <w:rPr>
          <w:sz w:val="24"/>
          <w:szCs w:val="24"/>
        </w:rPr>
        <w:t>) have identified several areas where additional</w:t>
      </w:r>
      <w:r w:rsidR="00AF2526">
        <w:rPr>
          <w:sz w:val="24"/>
          <w:szCs w:val="24"/>
        </w:rPr>
        <w:t xml:space="preserve"> DDO</w:t>
      </w:r>
      <w:r w:rsidR="005F6CA1">
        <w:rPr>
          <w:sz w:val="24"/>
          <w:szCs w:val="24"/>
        </w:rPr>
        <w:t xml:space="preserve"> </w:t>
      </w:r>
      <w:r w:rsidR="00AF2526">
        <w:rPr>
          <w:sz w:val="24"/>
          <w:szCs w:val="24"/>
        </w:rPr>
        <w:t>guidance</w:t>
      </w:r>
      <w:r w:rsidR="005F6CA1">
        <w:rPr>
          <w:sz w:val="24"/>
          <w:szCs w:val="24"/>
        </w:rPr>
        <w:t xml:space="preserve"> to product distributors could be of assistance.</w:t>
      </w:r>
    </w:p>
    <w:p w14:paraId="10DCE3AB" w14:textId="0516C6C8" w:rsidR="00D455E8" w:rsidRDefault="00D455E8" w:rsidP="00504D5C">
      <w:pPr>
        <w:spacing w:before="60" w:after="60"/>
        <w:rPr>
          <w:sz w:val="24"/>
          <w:szCs w:val="24"/>
        </w:rPr>
      </w:pPr>
    </w:p>
    <w:p w14:paraId="17CF4EB2" w14:textId="7F69C5A5" w:rsidR="00994CA3" w:rsidRDefault="00994CA3" w:rsidP="00504D5C">
      <w:pPr>
        <w:spacing w:before="60" w:after="60"/>
        <w:rPr>
          <w:sz w:val="24"/>
          <w:szCs w:val="24"/>
        </w:rPr>
      </w:pPr>
      <w:r>
        <w:rPr>
          <w:b/>
          <w:bCs/>
          <w:sz w:val="24"/>
          <w:szCs w:val="24"/>
        </w:rPr>
        <w:t>1. Portfolio view</w:t>
      </w:r>
    </w:p>
    <w:p w14:paraId="17D03917" w14:textId="7AEC2257" w:rsidR="00994CA3" w:rsidRPr="003B2A88" w:rsidRDefault="00994CA3" w:rsidP="00504D5C">
      <w:pPr>
        <w:spacing w:before="60" w:after="60"/>
        <w:rPr>
          <w:i/>
          <w:iCs/>
          <w:sz w:val="24"/>
          <w:szCs w:val="24"/>
        </w:rPr>
      </w:pPr>
      <w:r w:rsidRPr="003B2A88">
        <w:rPr>
          <w:i/>
          <w:iCs/>
          <w:sz w:val="24"/>
          <w:szCs w:val="24"/>
        </w:rPr>
        <w:t xml:space="preserve">Question: </w:t>
      </w:r>
      <w:r w:rsidR="009052D9">
        <w:rPr>
          <w:i/>
          <w:iCs/>
          <w:sz w:val="24"/>
          <w:szCs w:val="24"/>
        </w:rPr>
        <w:t>H</w:t>
      </w:r>
      <w:r w:rsidR="004B16FD" w:rsidRPr="004B16FD">
        <w:rPr>
          <w:i/>
          <w:iCs/>
          <w:sz w:val="24"/>
          <w:szCs w:val="24"/>
        </w:rPr>
        <w:t xml:space="preserve">ow should </w:t>
      </w:r>
      <w:r w:rsidR="003320DB">
        <w:rPr>
          <w:i/>
          <w:iCs/>
          <w:sz w:val="24"/>
          <w:szCs w:val="24"/>
        </w:rPr>
        <w:t>a</w:t>
      </w:r>
      <w:r w:rsidR="004B16FD" w:rsidRPr="004B16FD">
        <w:rPr>
          <w:i/>
          <w:iCs/>
          <w:sz w:val="24"/>
          <w:szCs w:val="24"/>
        </w:rPr>
        <w:t xml:space="preserve"> </w:t>
      </w:r>
      <w:r w:rsidR="003320DB">
        <w:rPr>
          <w:i/>
          <w:iCs/>
          <w:sz w:val="24"/>
          <w:szCs w:val="24"/>
        </w:rPr>
        <w:t>Target Market Determination (</w:t>
      </w:r>
      <w:r w:rsidR="004B16FD" w:rsidRPr="003320DB">
        <w:rPr>
          <w:b/>
          <w:bCs/>
          <w:i/>
          <w:iCs/>
          <w:sz w:val="24"/>
          <w:szCs w:val="24"/>
        </w:rPr>
        <w:t>TMD</w:t>
      </w:r>
      <w:r w:rsidR="003320DB">
        <w:rPr>
          <w:i/>
          <w:iCs/>
          <w:sz w:val="24"/>
          <w:szCs w:val="24"/>
        </w:rPr>
        <w:t>)</w:t>
      </w:r>
      <w:r w:rsidR="004B16FD" w:rsidRPr="004B16FD">
        <w:rPr>
          <w:i/>
          <w:iCs/>
          <w:sz w:val="24"/>
          <w:szCs w:val="24"/>
        </w:rPr>
        <w:t xml:space="preserve"> be considered where a </w:t>
      </w:r>
      <w:r w:rsidR="003672D4">
        <w:rPr>
          <w:i/>
          <w:iCs/>
          <w:sz w:val="24"/>
          <w:szCs w:val="24"/>
        </w:rPr>
        <w:t xml:space="preserve">managed </w:t>
      </w:r>
      <w:r w:rsidR="004B16FD" w:rsidRPr="004B16FD">
        <w:rPr>
          <w:i/>
          <w:iCs/>
          <w:sz w:val="24"/>
          <w:szCs w:val="24"/>
        </w:rPr>
        <w:t>fund is being held as part of a</w:t>
      </w:r>
      <w:r w:rsidR="003672D4">
        <w:rPr>
          <w:i/>
          <w:iCs/>
          <w:sz w:val="24"/>
          <w:szCs w:val="24"/>
        </w:rPr>
        <w:t>n investment</w:t>
      </w:r>
      <w:r w:rsidR="004B16FD" w:rsidRPr="004B16FD">
        <w:rPr>
          <w:i/>
          <w:iCs/>
          <w:sz w:val="24"/>
          <w:szCs w:val="24"/>
        </w:rPr>
        <w:t xml:space="preserve"> portfolio</w:t>
      </w:r>
      <w:r w:rsidR="004B16FD">
        <w:rPr>
          <w:i/>
          <w:iCs/>
          <w:sz w:val="24"/>
          <w:szCs w:val="24"/>
        </w:rPr>
        <w:t xml:space="preserve">? For instance, </w:t>
      </w:r>
      <w:r w:rsidRPr="003B2A88">
        <w:rPr>
          <w:i/>
          <w:iCs/>
          <w:sz w:val="24"/>
          <w:szCs w:val="24"/>
        </w:rPr>
        <w:t xml:space="preserve">if a </w:t>
      </w:r>
      <w:r w:rsidR="004B7026" w:rsidRPr="003B2A88">
        <w:rPr>
          <w:i/>
          <w:iCs/>
          <w:sz w:val="24"/>
          <w:szCs w:val="24"/>
        </w:rPr>
        <w:t xml:space="preserve">customer </w:t>
      </w:r>
      <w:r w:rsidR="00333628" w:rsidRPr="003B2A88">
        <w:rPr>
          <w:i/>
          <w:iCs/>
          <w:sz w:val="24"/>
          <w:szCs w:val="24"/>
        </w:rPr>
        <w:t xml:space="preserve">wishes to have a </w:t>
      </w:r>
      <w:r w:rsidR="004072C9">
        <w:rPr>
          <w:i/>
          <w:iCs/>
          <w:sz w:val="24"/>
          <w:szCs w:val="24"/>
        </w:rPr>
        <w:t xml:space="preserve">portfolio that is overall </w:t>
      </w:r>
      <w:r w:rsidR="003B2A88" w:rsidRPr="003B2A88">
        <w:rPr>
          <w:i/>
          <w:iCs/>
          <w:sz w:val="24"/>
          <w:szCs w:val="24"/>
        </w:rPr>
        <w:t>low risk</w:t>
      </w:r>
      <w:r w:rsidR="00AF2526">
        <w:rPr>
          <w:i/>
          <w:iCs/>
          <w:sz w:val="24"/>
          <w:szCs w:val="24"/>
        </w:rPr>
        <w:t>/return</w:t>
      </w:r>
      <w:r w:rsidR="003B2A88" w:rsidRPr="003B2A88">
        <w:rPr>
          <w:i/>
          <w:iCs/>
          <w:sz w:val="24"/>
          <w:szCs w:val="24"/>
        </w:rPr>
        <w:t xml:space="preserve"> </w:t>
      </w:r>
      <w:r w:rsidR="00333628" w:rsidRPr="003B2A88">
        <w:rPr>
          <w:i/>
          <w:iCs/>
          <w:sz w:val="24"/>
          <w:szCs w:val="24"/>
        </w:rPr>
        <w:t>portfolio</w:t>
      </w:r>
      <w:r w:rsidR="003B2A88" w:rsidRPr="003B2A88">
        <w:rPr>
          <w:i/>
          <w:iCs/>
          <w:sz w:val="24"/>
          <w:szCs w:val="24"/>
        </w:rPr>
        <w:t xml:space="preserve">, </w:t>
      </w:r>
      <w:r w:rsidR="00333628" w:rsidRPr="003B2A88">
        <w:rPr>
          <w:i/>
          <w:iCs/>
          <w:sz w:val="24"/>
          <w:szCs w:val="24"/>
        </w:rPr>
        <w:t xml:space="preserve">then </w:t>
      </w:r>
      <w:r w:rsidR="00BE7328">
        <w:rPr>
          <w:i/>
          <w:iCs/>
          <w:sz w:val="24"/>
          <w:szCs w:val="24"/>
        </w:rPr>
        <w:t xml:space="preserve">does </w:t>
      </w:r>
      <w:r w:rsidR="000811E3">
        <w:rPr>
          <w:i/>
          <w:iCs/>
          <w:sz w:val="24"/>
          <w:szCs w:val="24"/>
        </w:rPr>
        <w:t xml:space="preserve">that </w:t>
      </w:r>
      <w:r w:rsidR="00BE7328">
        <w:rPr>
          <w:i/>
          <w:iCs/>
          <w:sz w:val="24"/>
          <w:szCs w:val="24"/>
        </w:rPr>
        <w:t xml:space="preserve">mean </w:t>
      </w:r>
      <w:r w:rsidR="00333628" w:rsidRPr="003B2A88">
        <w:rPr>
          <w:i/>
          <w:iCs/>
          <w:sz w:val="24"/>
          <w:szCs w:val="24"/>
        </w:rPr>
        <w:t xml:space="preserve">all the products in the portfolio </w:t>
      </w:r>
      <w:r w:rsidR="00760BA5">
        <w:rPr>
          <w:i/>
          <w:iCs/>
          <w:sz w:val="24"/>
          <w:szCs w:val="24"/>
        </w:rPr>
        <w:t xml:space="preserve">should </w:t>
      </w:r>
      <w:r w:rsidR="003B2A88" w:rsidRPr="003B2A88">
        <w:rPr>
          <w:i/>
          <w:iCs/>
          <w:sz w:val="24"/>
          <w:szCs w:val="24"/>
        </w:rPr>
        <w:t>be low risk</w:t>
      </w:r>
      <w:r w:rsidR="00760BA5">
        <w:rPr>
          <w:i/>
          <w:iCs/>
          <w:sz w:val="24"/>
          <w:szCs w:val="24"/>
        </w:rPr>
        <w:t xml:space="preserve"> – and products that are not low risk are outside target market</w:t>
      </w:r>
      <w:r w:rsidR="003B2A88" w:rsidRPr="003B2A88">
        <w:rPr>
          <w:i/>
          <w:iCs/>
          <w:sz w:val="24"/>
          <w:szCs w:val="24"/>
        </w:rPr>
        <w:t xml:space="preserve">? And similar for other portfolio characteristics </w:t>
      </w:r>
      <w:r w:rsidR="00AF2526">
        <w:rPr>
          <w:i/>
          <w:iCs/>
          <w:sz w:val="24"/>
          <w:szCs w:val="24"/>
        </w:rPr>
        <w:t xml:space="preserve">such as </w:t>
      </w:r>
      <w:r w:rsidR="003B2A88" w:rsidRPr="003B2A88">
        <w:rPr>
          <w:i/>
          <w:iCs/>
          <w:sz w:val="24"/>
          <w:szCs w:val="24"/>
        </w:rPr>
        <w:t>high risk</w:t>
      </w:r>
      <w:r w:rsidR="00AF2526">
        <w:rPr>
          <w:i/>
          <w:iCs/>
          <w:sz w:val="24"/>
          <w:szCs w:val="24"/>
        </w:rPr>
        <w:t>/return</w:t>
      </w:r>
      <w:r w:rsidR="003B2A88" w:rsidRPr="003B2A88">
        <w:rPr>
          <w:i/>
          <w:iCs/>
          <w:sz w:val="24"/>
          <w:szCs w:val="24"/>
        </w:rPr>
        <w:t xml:space="preserve">, income </w:t>
      </w:r>
      <w:r w:rsidR="00E6604D">
        <w:rPr>
          <w:i/>
          <w:iCs/>
          <w:sz w:val="24"/>
          <w:szCs w:val="24"/>
        </w:rPr>
        <w:t>distribution</w:t>
      </w:r>
      <w:r w:rsidR="003B2A88" w:rsidRPr="003B2A88">
        <w:rPr>
          <w:i/>
          <w:iCs/>
          <w:sz w:val="24"/>
          <w:szCs w:val="24"/>
        </w:rPr>
        <w:t xml:space="preserve">, </w:t>
      </w:r>
      <w:r w:rsidR="00BE7328">
        <w:rPr>
          <w:i/>
          <w:iCs/>
          <w:sz w:val="24"/>
          <w:szCs w:val="24"/>
        </w:rPr>
        <w:t xml:space="preserve">investment timeframe, </w:t>
      </w:r>
      <w:r w:rsidR="003B2A88" w:rsidRPr="003B2A88">
        <w:rPr>
          <w:i/>
          <w:iCs/>
          <w:sz w:val="24"/>
          <w:szCs w:val="24"/>
        </w:rPr>
        <w:t>liquidity?</w:t>
      </w:r>
    </w:p>
    <w:p w14:paraId="39D3E672" w14:textId="113C7A42" w:rsidR="00757A42" w:rsidRPr="004C65BB" w:rsidRDefault="003B2A88" w:rsidP="00E27E57">
      <w:pPr>
        <w:spacing w:before="60" w:after="60"/>
        <w:rPr>
          <w:b/>
          <w:bCs/>
          <w:sz w:val="24"/>
          <w:szCs w:val="24"/>
        </w:rPr>
      </w:pPr>
      <w:r w:rsidRPr="004C65BB">
        <w:rPr>
          <w:b/>
          <w:bCs/>
          <w:sz w:val="24"/>
          <w:szCs w:val="24"/>
        </w:rPr>
        <w:t xml:space="preserve">Answer: </w:t>
      </w:r>
    </w:p>
    <w:p w14:paraId="01EFF52E" w14:textId="64303ED0" w:rsidR="006F5386" w:rsidRDefault="00757A42" w:rsidP="00757A42">
      <w:pPr>
        <w:spacing w:before="60" w:after="60"/>
        <w:rPr>
          <w:sz w:val="24"/>
          <w:szCs w:val="24"/>
        </w:rPr>
      </w:pPr>
      <w:r w:rsidRPr="00757A42">
        <w:rPr>
          <w:sz w:val="24"/>
          <w:szCs w:val="24"/>
        </w:rPr>
        <w:t xml:space="preserve">The TMD should </w:t>
      </w:r>
      <w:r w:rsidR="007B5DC0">
        <w:rPr>
          <w:sz w:val="24"/>
          <w:szCs w:val="24"/>
        </w:rPr>
        <w:t xml:space="preserve">be </w:t>
      </w:r>
      <w:r w:rsidRPr="00757A42">
        <w:rPr>
          <w:sz w:val="24"/>
          <w:szCs w:val="24"/>
        </w:rPr>
        <w:t xml:space="preserve">considered against the intended use of </w:t>
      </w:r>
      <w:r w:rsidR="0057774A">
        <w:rPr>
          <w:sz w:val="24"/>
          <w:szCs w:val="24"/>
        </w:rPr>
        <w:t xml:space="preserve">the relevant </w:t>
      </w:r>
      <w:r w:rsidRPr="00757A42">
        <w:rPr>
          <w:sz w:val="24"/>
          <w:szCs w:val="24"/>
        </w:rPr>
        <w:t xml:space="preserve">component of the </w:t>
      </w:r>
      <w:r w:rsidR="003320DB">
        <w:rPr>
          <w:sz w:val="24"/>
          <w:szCs w:val="24"/>
        </w:rPr>
        <w:t xml:space="preserve">investment </w:t>
      </w:r>
      <w:r w:rsidRPr="00757A42">
        <w:rPr>
          <w:sz w:val="24"/>
          <w:szCs w:val="24"/>
        </w:rPr>
        <w:t xml:space="preserve">portfolio and not against the </w:t>
      </w:r>
      <w:r w:rsidR="006F5386">
        <w:rPr>
          <w:sz w:val="24"/>
          <w:szCs w:val="24"/>
        </w:rPr>
        <w:t xml:space="preserve">customer’s </w:t>
      </w:r>
      <w:r w:rsidR="00446C1A">
        <w:rPr>
          <w:sz w:val="24"/>
          <w:szCs w:val="24"/>
        </w:rPr>
        <w:t>desired characteristics of the whole portfolio</w:t>
      </w:r>
      <w:r w:rsidRPr="00757A42">
        <w:rPr>
          <w:sz w:val="24"/>
          <w:szCs w:val="24"/>
        </w:rPr>
        <w:t>.</w:t>
      </w:r>
    </w:p>
    <w:p w14:paraId="738FB549" w14:textId="1CFF1C5E" w:rsidR="00B81373" w:rsidRDefault="00757A42" w:rsidP="00757A42">
      <w:pPr>
        <w:spacing w:before="60" w:after="60"/>
        <w:rPr>
          <w:sz w:val="24"/>
          <w:szCs w:val="24"/>
        </w:rPr>
      </w:pPr>
      <w:r w:rsidRPr="00757A42">
        <w:rPr>
          <w:sz w:val="24"/>
          <w:szCs w:val="24"/>
        </w:rPr>
        <w:t>Therefore</w:t>
      </w:r>
      <w:r>
        <w:rPr>
          <w:sz w:val="24"/>
          <w:szCs w:val="24"/>
        </w:rPr>
        <w:t>, a</w:t>
      </w:r>
      <w:r w:rsidR="0076751A">
        <w:rPr>
          <w:sz w:val="24"/>
          <w:szCs w:val="24"/>
        </w:rPr>
        <w:t xml:space="preserve"> high risk</w:t>
      </w:r>
      <w:r w:rsidR="00D13FF0">
        <w:rPr>
          <w:sz w:val="24"/>
          <w:szCs w:val="24"/>
        </w:rPr>
        <w:t>/return</w:t>
      </w:r>
      <w:r w:rsidR="0076751A">
        <w:rPr>
          <w:sz w:val="24"/>
          <w:szCs w:val="24"/>
        </w:rPr>
        <w:t xml:space="preserve"> product can legitimately be </w:t>
      </w:r>
      <w:r w:rsidR="00CC7340">
        <w:rPr>
          <w:sz w:val="24"/>
          <w:szCs w:val="24"/>
        </w:rPr>
        <w:t xml:space="preserve">a </w:t>
      </w:r>
      <w:r w:rsidR="004072C9">
        <w:rPr>
          <w:sz w:val="24"/>
          <w:szCs w:val="24"/>
        </w:rPr>
        <w:t>component</w:t>
      </w:r>
      <w:r w:rsidR="0076751A">
        <w:rPr>
          <w:sz w:val="24"/>
          <w:szCs w:val="24"/>
        </w:rPr>
        <w:t xml:space="preserve"> of a portfolio that is </w:t>
      </w:r>
      <w:r w:rsidR="00BE7328">
        <w:rPr>
          <w:sz w:val="24"/>
          <w:szCs w:val="24"/>
        </w:rPr>
        <w:t xml:space="preserve">overall </w:t>
      </w:r>
      <w:r w:rsidR="0076751A">
        <w:rPr>
          <w:sz w:val="24"/>
          <w:szCs w:val="24"/>
        </w:rPr>
        <w:t>low risk</w:t>
      </w:r>
      <w:r w:rsidR="00D13FF0">
        <w:rPr>
          <w:sz w:val="24"/>
          <w:szCs w:val="24"/>
        </w:rPr>
        <w:t>/return</w:t>
      </w:r>
      <w:r w:rsidR="000C1E70">
        <w:rPr>
          <w:sz w:val="24"/>
          <w:szCs w:val="24"/>
        </w:rPr>
        <w:t>.</w:t>
      </w:r>
      <w:r w:rsidR="001A4088">
        <w:rPr>
          <w:sz w:val="24"/>
          <w:szCs w:val="24"/>
        </w:rPr>
        <w:t xml:space="preserve"> </w:t>
      </w:r>
      <w:r w:rsidR="001A4088" w:rsidRPr="001A4088">
        <w:rPr>
          <w:sz w:val="24"/>
          <w:szCs w:val="24"/>
        </w:rPr>
        <w:t>If a fund meet</w:t>
      </w:r>
      <w:r w:rsidR="001A4088">
        <w:rPr>
          <w:sz w:val="24"/>
          <w:szCs w:val="24"/>
        </w:rPr>
        <w:t>s</w:t>
      </w:r>
      <w:r w:rsidR="001A4088" w:rsidRPr="001A4088">
        <w:rPr>
          <w:sz w:val="24"/>
          <w:szCs w:val="24"/>
        </w:rPr>
        <w:t xml:space="preserve"> the customer’s requirements for </w:t>
      </w:r>
      <w:r w:rsidR="001A4088">
        <w:rPr>
          <w:sz w:val="24"/>
          <w:szCs w:val="24"/>
        </w:rPr>
        <w:t xml:space="preserve">the relevant </w:t>
      </w:r>
      <w:r w:rsidR="001A4088" w:rsidRPr="001A4088">
        <w:rPr>
          <w:sz w:val="24"/>
          <w:szCs w:val="24"/>
        </w:rPr>
        <w:t xml:space="preserve">portion of the </w:t>
      </w:r>
      <w:r w:rsidR="001A4088">
        <w:rPr>
          <w:sz w:val="24"/>
          <w:szCs w:val="24"/>
        </w:rPr>
        <w:t xml:space="preserve">client’s </w:t>
      </w:r>
      <w:r w:rsidR="001A4088" w:rsidRPr="001A4088">
        <w:rPr>
          <w:sz w:val="24"/>
          <w:szCs w:val="24"/>
        </w:rPr>
        <w:t>portfolio, then the distributor could legitimately classify the customer as being in the target market for th</w:t>
      </w:r>
      <w:r w:rsidR="002406D9">
        <w:rPr>
          <w:sz w:val="24"/>
          <w:szCs w:val="24"/>
        </w:rPr>
        <w:t>at</w:t>
      </w:r>
      <w:r w:rsidR="001A4088" w:rsidRPr="001A4088">
        <w:rPr>
          <w:sz w:val="24"/>
          <w:szCs w:val="24"/>
        </w:rPr>
        <w:t xml:space="preserve"> component of the portfolio.</w:t>
      </w:r>
    </w:p>
    <w:p w14:paraId="7C1D592E" w14:textId="2DF32438" w:rsidR="005555F8" w:rsidRDefault="005555F8" w:rsidP="00E27E57">
      <w:pPr>
        <w:spacing w:before="60" w:after="60"/>
        <w:rPr>
          <w:sz w:val="24"/>
          <w:szCs w:val="24"/>
        </w:rPr>
      </w:pPr>
      <w:r>
        <w:rPr>
          <w:sz w:val="24"/>
          <w:szCs w:val="24"/>
        </w:rPr>
        <w:t>As part of portfolio construction, d</w:t>
      </w:r>
      <w:r w:rsidR="000474B7">
        <w:rPr>
          <w:sz w:val="24"/>
          <w:szCs w:val="24"/>
        </w:rPr>
        <w:t xml:space="preserve">istributors, including </w:t>
      </w:r>
      <w:r w:rsidR="007B5DC0">
        <w:rPr>
          <w:sz w:val="24"/>
          <w:szCs w:val="24"/>
        </w:rPr>
        <w:t xml:space="preserve">financial </w:t>
      </w:r>
      <w:r w:rsidR="000474B7">
        <w:rPr>
          <w:sz w:val="24"/>
          <w:szCs w:val="24"/>
        </w:rPr>
        <w:t xml:space="preserve">advisers, </w:t>
      </w:r>
      <w:r>
        <w:rPr>
          <w:sz w:val="24"/>
          <w:szCs w:val="24"/>
        </w:rPr>
        <w:t xml:space="preserve">can legitimately </w:t>
      </w:r>
      <w:r w:rsidR="008B3FE0">
        <w:rPr>
          <w:sz w:val="24"/>
          <w:szCs w:val="24"/>
        </w:rPr>
        <w:t xml:space="preserve">determine </w:t>
      </w:r>
      <w:r w:rsidR="00E8786B">
        <w:rPr>
          <w:sz w:val="24"/>
          <w:szCs w:val="24"/>
        </w:rPr>
        <w:t xml:space="preserve">different </w:t>
      </w:r>
      <w:r>
        <w:rPr>
          <w:sz w:val="24"/>
          <w:szCs w:val="24"/>
        </w:rPr>
        <w:t>part</w:t>
      </w:r>
      <w:r w:rsidR="00E8786B">
        <w:rPr>
          <w:sz w:val="24"/>
          <w:szCs w:val="24"/>
        </w:rPr>
        <w:t>s</w:t>
      </w:r>
      <w:r>
        <w:rPr>
          <w:sz w:val="24"/>
          <w:szCs w:val="24"/>
        </w:rPr>
        <w:t xml:space="preserve"> of </w:t>
      </w:r>
      <w:r w:rsidR="00461CE2">
        <w:rPr>
          <w:sz w:val="24"/>
          <w:szCs w:val="24"/>
        </w:rPr>
        <w:t xml:space="preserve">a </w:t>
      </w:r>
      <w:r w:rsidR="007654D3">
        <w:rPr>
          <w:sz w:val="24"/>
          <w:szCs w:val="24"/>
        </w:rPr>
        <w:t>customer’s</w:t>
      </w:r>
      <w:r>
        <w:rPr>
          <w:sz w:val="24"/>
          <w:szCs w:val="24"/>
        </w:rPr>
        <w:t xml:space="preserve"> portfolio </w:t>
      </w:r>
      <w:r w:rsidR="00E8786B">
        <w:rPr>
          <w:sz w:val="24"/>
          <w:szCs w:val="24"/>
        </w:rPr>
        <w:t xml:space="preserve">should have </w:t>
      </w:r>
      <w:r>
        <w:rPr>
          <w:sz w:val="24"/>
          <w:szCs w:val="24"/>
        </w:rPr>
        <w:t>different characteristics</w:t>
      </w:r>
      <w:r w:rsidR="000C1E70">
        <w:rPr>
          <w:sz w:val="24"/>
          <w:szCs w:val="24"/>
        </w:rPr>
        <w:t xml:space="preserve">, such as </w:t>
      </w:r>
      <w:r w:rsidR="008B3FE0">
        <w:rPr>
          <w:sz w:val="24"/>
          <w:szCs w:val="24"/>
        </w:rPr>
        <w:t xml:space="preserve">a portfolio </w:t>
      </w:r>
      <w:r w:rsidR="00F37A6B">
        <w:rPr>
          <w:sz w:val="24"/>
          <w:szCs w:val="24"/>
        </w:rPr>
        <w:t xml:space="preserve">could have </w:t>
      </w:r>
      <w:r w:rsidR="008B3FE0">
        <w:rPr>
          <w:sz w:val="24"/>
          <w:szCs w:val="24"/>
        </w:rPr>
        <w:t xml:space="preserve">part allocated to low </w:t>
      </w:r>
      <w:r w:rsidR="000C1E70">
        <w:rPr>
          <w:sz w:val="24"/>
          <w:szCs w:val="24"/>
        </w:rPr>
        <w:t>risk</w:t>
      </w:r>
      <w:r w:rsidR="008B3FE0">
        <w:rPr>
          <w:sz w:val="24"/>
          <w:szCs w:val="24"/>
        </w:rPr>
        <w:t>/return</w:t>
      </w:r>
      <w:r w:rsidR="00023A83">
        <w:rPr>
          <w:sz w:val="24"/>
          <w:szCs w:val="24"/>
        </w:rPr>
        <w:t xml:space="preserve"> products</w:t>
      </w:r>
      <w:r w:rsidR="008B3FE0">
        <w:rPr>
          <w:sz w:val="24"/>
          <w:szCs w:val="24"/>
        </w:rPr>
        <w:t xml:space="preserve">, </w:t>
      </w:r>
      <w:r w:rsidR="00F37A6B">
        <w:rPr>
          <w:sz w:val="24"/>
          <w:szCs w:val="24"/>
        </w:rPr>
        <w:t xml:space="preserve">another part </w:t>
      </w:r>
      <w:r w:rsidR="008B3FE0">
        <w:rPr>
          <w:sz w:val="24"/>
          <w:szCs w:val="24"/>
        </w:rPr>
        <w:t>to medium risk/return and the remainder to high risk/return</w:t>
      </w:r>
      <w:r w:rsidR="00023A83">
        <w:rPr>
          <w:sz w:val="24"/>
          <w:szCs w:val="24"/>
        </w:rPr>
        <w:t xml:space="preserve"> products</w:t>
      </w:r>
      <w:r w:rsidR="008B3FE0">
        <w:rPr>
          <w:sz w:val="24"/>
          <w:szCs w:val="24"/>
        </w:rPr>
        <w:t xml:space="preserve">. </w:t>
      </w:r>
      <w:r w:rsidR="00C522DA">
        <w:rPr>
          <w:sz w:val="24"/>
          <w:szCs w:val="24"/>
        </w:rPr>
        <w:t xml:space="preserve">Similarly, </w:t>
      </w:r>
      <w:r w:rsidR="00EC498A">
        <w:rPr>
          <w:sz w:val="24"/>
          <w:szCs w:val="24"/>
        </w:rPr>
        <w:t xml:space="preserve">some parts </w:t>
      </w:r>
      <w:r w:rsidR="00265907">
        <w:rPr>
          <w:sz w:val="24"/>
          <w:szCs w:val="24"/>
        </w:rPr>
        <w:t xml:space="preserve">of a portfolio </w:t>
      </w:r>
      <w:r w:rsidR="00EC498A">
        <w:rPr>
          <w:sz w:val="24"/>
          <w:szCs w:val="24"/>
        </w:rPr>
        <w:t>may have higher desired liquidity</w:t>
      </w:r>
      <w:r w:rsidR="00265907">
        <w:rPr>
          <w:sz w:val="24"/>
          <w:szCs w:val="24"/>
        </w:rPr>
        <w:t xml:space="preserve"> than other parts, and some may have</w:t>
      </w:r>
      <w:r w:rsidR="00EC498A">
        <w:rPr>
          <w:sz w:val="24"/>
          <w:szCs w:val="24"/>
        </w:rPr>
        <w:t xml:space="preserve"> </w:t>
      </w:r>
      <w:r w:rsidR="00874F2A">
        <w:rPr>
          <w:sz w:val="24"/>
          <w:szCs w:val="24"/>
        </w:rPr>
        <w:t xml:space="preserve">more </w:t>
      </w:r>
      <w:r w:rsidR="00874F2A">
        <w:rPr>
          <w:sz w:val="24"/>
          <w:szCs w:val="24"/>
        </w:rPr>
        <w:lastRenderedPageBreak/>
        <w:t xml:space="preserve">capital </w:t>
      </w:r>
      <w:r w:rsidR="00573B7A">
        <w:rPr>
          <w:sz w:val="24"/>
          <w:szCs w:val="24"/>
        </w:rPr>
        <w:t>growth</w:t>
      </w:r>
      <w:r w:rsidR="00B910E2">
        <w:rPr>
          <w:sz w:val="24"/>
          <w:szCs w:val="24"/>
        </w:rPr>
        <w:t>, long</w:t>
      </w:r>
      <w:r w:rsidR="00265907">
        <w:rPr>
          <w:sz w:val="24"/>
          <w:szCs w:val="24"/>
        </w:rPr>
        <w:t>er</w:t>
      </w:r>
      <w:r w:rsidR="00B910E2">
        <w:rPr>
          <w:sz w:val="24"/>
          <w:szCs w:val="24"/>
        </w:rPr>
        <w:t xml:space="preserve"> investment timeframe</w:t>
      </w:r>
      <w:r w:rsidR="00573B7A">
        <w:rPr>
          <w:sz w:val="24"/>
          <w:szCs w:val="24"/>
        </w:rPr>
        <w:t xml:space="preserve"> </w:t>
      </w:r>
      <w:r w:rsidR="00EC498A">
        <w:rPr>
          <w:sz w:val="24"/>
          <w:szCs w:val="24"/>
        </w:rPr>
        <w:t>and so on.</w:t>
      </w:r>
      <w:r w:rsidR="00265907">
        <w:rPr>
          <w:sz w:val="24"/>
          <w:szCs w:val="24"/>
        </w:rPr>
        <w:t xml:space="preserve"> In each case, </w:t>
      </w:r>
      <w:r w:rsidR="006F5386">
        <w:rPr>
          <w:sz w:val="24"/>
          <w:szCs w:val="24"/>
        </w:rPr>
        <w:t xml:space="preserve">investment </w:t>
      </w:r>
      <w:r w:rsidR="00C522DA">
        <w:rPr>
          <w:sz w:val="24"/>
          <w:szCs w:val="24"/>
        </w:rPr>
        <w:t>product</w:t>
      </w:r>
      <w:r w:rsidR="006F5386">
        <w:rPr>
          <w:sz w:val="24"/>
          <w:szCs w:val="24"/>
        </w:rPr>
        <w:t>s</w:t>
      </w:r>
      <w:r w:rsidR="00C522DA">
        <w:rPr>
          <w:sz w:val="24"/>
          <w:szCs w:val="24"/>
        </w:rPr>
        <w:t xml:space="preserve"> should be assessed </w:t>
      </w:r>
      <w:r w:rsidR="00265907">
        <w:rPr>
          <w:sz w:val="24"/>
          <w:szCs w:val="24"/>
        </w:rPr>
        <w:t>against the relevant component of the overall portfolio.</w:t>
      </w:r>
    </w:p>
    <w:p w14:paraId="68784427" w14:textId="0EAC6701" w:rsidR="00EE61B9" w:rsidRDefault="00573B7A" w:rsidP="00EC498A">
      <w:pPr>
        <w:spacing w:before="60" w:after="60"/>
        <w:rPr>
          <w:sz w:val="24"/>
          <w:szCs w:val="24"/>
        </w:rPr>
      </w:pPr>
      <w:r>
        <w:rPr>
          <w:sz w:val="24"/>
          <w:szCs w:val="24"/>
        </w:rPr>
        <w:t>For example</w:t>
      </w:r>
      <w:r w:rsidR="00EE61B9">
        <w:rPr>
          <w:sz w:val="24"/>
          <w:szCs w:val="24"/>
        </w:rPr>
        <w:t>,</w:t>
      </w:r>
      <w:r w:rsidR="00EC498A">
        <w:rPr>
          <w:sz w:val="24"/>
          <w:szCs w:val="24"/>
        </w:rPr>
        <w:t xml:space="preserve"> a</w:t>
      </w:r>
      <w:r w:rsidR="005F62E5">
        <w:rPr>
          <w:sz w:val="24"/>
          <w:szCs w:val="24"/>
        </w:rPr>
        <w:t xml:space="preserve">n adviser may be constructing a </w:t>
      </w:r>
      <w:r w:rsidR="00EC498A">
        <w:rPr>
          <w:sz w:val="24"/>
          <w:szCs w:val="24"/>
        </w:rPr>
        <w:t xml:space="preserve">portfolio </w:t>
      </w:r>
      <w:r w:rsidR="005F62E5">
        <w:rPr>
          <w:sz w:val="24"/>
          <w:szCs w:val="24"/>
        </w:rPr>
        <w:t xml:space="preserve">with </w:t>
      </w:r>
      <w:r w:rsidR="004C2489">
        <w:rPr>
          <w:sz w:val="24"/>
          <w:szCs w:val="24"/>
        </w:rPr>
        <w:t>30</w:t>
      </w:r>
      <w:r w:rsidR="00EC498A">
        <w:rPr>
          <w:sz w:val="24"/>
          <w:szCs w:val="24"/>
        </w:rPr>
        <w:t xml:space="preserve">% </w:t>
      </w:r>
      <w:r w:rsidR="005F62E5">
        <w:rPr>
          <w:sz w:val="24"/>
          <w:szCs w:val="24"/>
        </w:rPr>
        <w:t xml:space="preserve">of the portfolio </w:t>
      </w:r>
      <w:r w:rsidR="00EC498A">
        <w:rPr>
          <w:sz w:val="24"/>
          <w:szCs w:val="24"/>
        </w:rPr>
        <w:t xml:space="preserve">allocated to high risk/return </w:t>
      </w:r>
      <w:r w:rsidR="005F62E5">
        <w:rPr>
          <w:sz w:val="24"/>
          <w:szCs w:val="24"/>
        </w:rPr>
        <w:t xml:space="preserve">products </w:t>
      </w:r>
      <w:r w:rsidR="00EC498A">
        <w:rPr>
          <w:sz w:val="24"/>
          <w:szCs w:val="24"/>
        </w:rPr>
        <w:t xml:space="preserve">and </w:t>
      </w:r>
      <w:r w:rsidR="004C2489">
        <w:rPr>
          <w:sz w:val="24"/>
          <w:szCs w:val="24"/>
        </w:rPr>
        <w:t>70</w:t>
      </w:r>
      <w:r w:rsidR="00EC498A">
        <w:rPr>
          <w:sz w:val="24"/>
          <w:szCs w:val="24"/>
        </w:rPr>
        <w:t xml:space="preserve">% allocated to low risk/return. In this case, 70% of the portfolio </w:t>
      </w:r>
      <w:r w:rsidR="00916094">
        <w:rPr>
          <w:sz w:val="24"/>
          <w:szCs w:val="24"/>
        </w:rPr>
        <w:t>c</w:t>
      </w:r>
      <w:r w:rsidR="00EC498A">
        <w:rPr>
          <w:sz w:val="24"/>
          <w:szCs w:val="24"/>
        </w:rPr>
        <w:t xml:space="preserve">ould be assessed against a customer need of </w:t>
      </w:r>
      <w:r w:rsidR="00614EFD">
        <w:rPr>
          <w:sz w:val="24"/>
          <w:szCs w:val="24"/>
        </w:rPr>
        <w:t xml:space="preserve">low </w:t>
      </w:r>
      <w:r w:rsidR="00EC498A">
        <w:rPr>
          <w:sz w:val="24"/>
          <w:szCs w:val="24"/>
        </w:rPr>
        <w:t xml:space="preserve">risk/return, and a product rated suitable for </w:t>
      </w:r>
      <w:r w:rsidR="00614EFD">
        <w:rPr>
          <w:sz w:val="24"/>
          <w:szCs w:val="24"/>
        </w:rPr>
        <w:t xml:space="preserve">low </w:t>
      </w:r>
      <w:r w:rsidR="00EC498A">
        <w:rPr>
          <w:sz w:val="24"/>
          <w:szCs w:val="24"/>
        </w:rPr>
        <w:t xml:space="preserve">risk/return is potentially suitable for that part of the portfolio (contingent on other characteristics of the product). </w:t>
      </w:r>
      <w:r w:rsidR="005F62E5">
        <w:rPr>
          <w:sz w:val="24"/>
          <w:szCs w:val="24"/>
        </w:rPr>
        <w:t xml:space="preserve">These products </w:t>
      </w:r>
      <w:r w:rsidR="003F6A20">
        <w:rPr>
          <w:sz w:val="24"/>
          <w:szCs w:val="24"/>
        </w:rPr>
        <w:t>may not</w:t>
      </w:r>
      <w:r w:rsidR="005F62E5">
        <w:rPr>
          <w:sz w:val="24"/>
          <w:szCs w:val="24"/>
        </w:rPr>
        <w:t xml:space="preserve"> be suitable for the remaining 30% of the portfolio. </w:t>
      </w:r>
    </w:p>
    <w:p w14:paraId="59CC7E71" w14:textId="368C2ED2" w:rsidR="00EC498A" w:rsidRDefault="00912880" w:rsidP="00EC498A">
      <w:pPr>
        <w:spacing w:before="60" w:after="60"/>
        <w:rPr>
          <w:sz w:val="24"/>
          <w:szCs w:val="24"/>
        </w:rPr>
      </w:pPr>
      <w:r>
        <w:rPr>
          <w:sz w:val="24"/>
          <w:szCs w:val="24"/>
        </w:rPr>
        <w:t>C</w:t>
      </w:r>
      <w:r w:rsidR="005F62E5">
        <w:rPr>
          <w:sz w:val="24"/>
          <w:szCs w:val="24"/>
        </w:rPr>
        <w:t xml:space="preserve">onversely, </w:t>
      </w:r>
      <w:r w:rsidR="00F519C8">
        <w:rPr>
          <w:sz w:val="24"/>
          <w:szCs w:val="24"/>
        </w:rPr>
        <w:t xml:space="preserve">the remaining 30% of the portfolio should be assessed against a customer need </w:t>
      </w:r>
      <w:r w:rsidR="00614EFD">
        <w:rPr>
          <w:sz w:val="24"/>
          <w:szCs w:val="24"/>
        </w:rPr>
        <w:t xml:space="preserve">for high </w:t>
      </w:r>
      <w:r w:rsidR="00F519C8">
        <w:rPr>
          <w:sz w:val="24"/>
          <w:szCs w:val="24"/>
        </w:rPr>
        <w:t>risk/return</w:t>
      </w:r>
      <w:r w:rsidR="00EE61B9">
        <w:rPr>
          <w:sz w:val="24"/>
          <w:szCs w:val="24"/>
        </w:rPr>
        <w:t xml:space="preserve">, with a </w:t>
      </w:r>
      <w:r w:rsidR="00F11E39">
        <w:rPr>
          <w:sz w:val="24"/>
          <w:szCs w:val="24"/>
        </w:rPr>
        <w:t>high</w:t>
      </w:r>
      <w:r w:rsidR="00EE61B9">
        <w:rPr>
          <w:sz w:val="24"/>
          <w:szCs w:val="24"/>
        </w:rPr>
        <w:t xml:space="preserve"> risk/return product potentially suitable for that part of the portfolio, and </w:t>
      </w:r>
      <w:r w:rsidR="003F6A20">
        <w:rPr>
          <w:sz w:val="24"/>
          <w:szCs w:val="24"/>
        </w:rPr>
        <w:t xml:space="preserve">potentially </w:t>
      </w:r>
      <w:r w:rsidR="00EE61B9">
        <w:rPr>
          <w:sz w:val="24"/>
          <w:szCs w:val="24"/>
        </w:rPr>
        <w:t>not suitable for the remaining 70%.</w:t>
      </w:r>
    </w:p>
    <w:p w14:paraId="2A1DF1A8" w14:textId="5536D5EE" w:rsidR="00EC498A" w:rsidRDefault="00912880" w:rsidP="00E27E57">
      <w:pPr>
        <w:spacing w:before="60" w:after="60"/>
        <w:rPr>
          <w:sz w:val="24"/>
          <w:szCs w:val="24"/>
        </w:rPr>
      </w:pPr>
      <w:r>
        <w:rPr>
          <w:sz w:val="24"/>
          <w:szCs w:val="24"/>
        </w:rPr>
        <w:t>In this example, it may be the case that</w:t>
      </w:r>
      <w:r w:rsidR="00807871">
        <w:rPr>
          <w:sz w:val="24"/>
          <w:szCs w:val="24"/>
        </w:rPr>
        <w:t xml:space="preserve"> a portfolio that is </w:t>
      </w:r>
      <w:r w:rsidR="00487804">
        <w:rPr>
          <w:sz w:val="24"/>
          <w:szCs w:val="24"/>
        </w:rPr>
        <w:t>30</w:t>
      </w:r>
      <w:r w:rsidR="00807871">
        <w:rPr>
          <w:sz w:val="24"/>
          <w:szCs w:val="24"/>
        </w:rPr>
        <w:t xml:space="preserve">% high risk/return </w:t>
      </w:r>
      <w:r w:rsidR="00133683">
        <w:rPr>
          <w:sz w:val="24"/>
          <w:szCs w:val="24"/>
        </w:rPr>
        <w:t xml:space="preserve">products </w:t>
      </w:r>
      <w:r w:rsidR="00807871">
        <w:rPr>
          <w:sz w:val="24"/>
          <w:szCs w:val="24"/>
        </w:rPr>
        <w:t xml:space="preserve">and </w:t>
      </w:r>
      <w:r w:rsidR="00487804">
        <w:rPr>
          <w:sz w:val="24"/>
          <w:szCs w:val="24"/>
        </w:rPr>
        <w:t>70</w:t>
      </w:r>
      <w:r w:rsidR="00807871">
        <w:rPr>
          <w:sz w:val="24"/>
          <w:szCs w:val="24"/>
        </w:rPr>
        <w:t xml:space="preserve">% low risk/return </w:t>
      </w:r>
      <w:r w:rsidR="00133683">
        <w:rPr>
          <w:sz w:val="24"/>
          <w:szCs w:val="24"/>
        </w:rPr>
        <w:t xml:space="preserve">products </w:t>
      </w:r>
      <w:r w:rsidR="004251DA">
        <w:rPr>
          <w:sz w:val="24"/>
          <w:szCs w:val="24"/>
        </w:rPr>
        <w:t xml:space="preserve">is assessed by the adviser as having </w:t>
      </w:r>
      <w:r w:rsidR="00133683">
        <w:rPr>
          <w:sz w:val="24"/>
          <w:szCs w:val="24"/>
        </w:rPr>
        <w:t xml:space="preserve">all the products in the portfolio </w:t>
      </w:r>
      <w:r w:rsidR="00807871">
        <w:rPr>
          <w:sz w:val="24"/>
          <w:szCs w:val="24"/>
        </w:rPr>
        <w:t xml:space="preserve">suitable for the customer </w:t>
      </w:r>
      <w:r w:rsidR="00133683">
        <w:rPr>
          <w:sz w:val="24"/>
          <w:szCs w:val="24"/>
        </w:rPr>
        <w:t>(</w:t>
      </w:r>
      <w:proofErr w:type="spellStart"/>
      <w:r w:rsidR="00133683">
        <w:rPr>
          <w:sz w:val="24"/>
          <w:szCs w:val="24"/>
        </w:rPr>
        <w:t>ie</w:t>
      </w:r>
      <w:proofErr w:type="spellEnd"/>
      <w:r w:rsidR="00133683">
        <w:rPr>
          <w:sz w:val="24"/>
          <w:szCs w:val="24"/>
        </w:rPr>
        <w:t xml:space="preserve"> none of the products are </w:t>
      </w:r>
      <w:r w:rsidR="00445A37">
        <w:rPr>
          <w:sz w:val="24"/>
          <w:szCs w:val="24"/>
        </w:rPr>
        <w:t xml:space="preserve">assessed as being </w:t>
      </w:r>
      <w:r w:rsidR="00133683">
        <w:rPr>
          <w:sz w:val="24"/>
          <w:szCs w:val="24"/>
        </w:rPr>
        <w:t xml:space="preserve">outside the target market) </w:t>
      </w:r>
      <w:r w:rsidR="00807871">
        <w:rPr>
          <w:sz w:val="24"/>
          <w:szCs w:val="24"/>
        </w:rPr>
        <w:t xml:space="preserve">– but the assessment should be done </w:t>
      </w:r>
      <w:r w:rsidR="00097486">
        <w:rPr>
          <w:sz w:val="24"/>
          <w:szCs w:val="24"/>
        </w:rPr>
        <w:t>on each product based on its suitability for the relevant component of the portfolio</w:t>
      </w:r>
      <w:r w:rsidR="00807871">
        <w:rPr>
          <w:sz w:val="24"/>
          <w:szCs w:val="24"/>
        </w:rPr>
        <w:t>, and importantly should include all the characteristics of the products in the portfolio, not just risk/return.</w:t>
      </w:r>
      <w:r>
        <w:rPr>
          <w:sz w:val="24"/>
          <w:szCs w:val="24"/>
        </w:rPr>
        <w:t xml:space="preserve"> </w:t>
      </w:r>
    </w:p>
    <w:p w14:paraId="784C9FA4" w14:textId="081C880E" w:rsidR="003B2A88" w:rsidRDefault="00E6604D" w:rsidP="00504D5C">
      <w:pPr>
        <w:spacing w:before="60" w:after="60"/>
        <w:rPr>
          <w:sz w:val="24"/>
          <w:szCs w:val="24"/>
        </w:rPr>
      </w:pPr>
      <w:r>
        <w:rPr>
          <w:sz w:val="24"/>
          <w:szCs w:val="24"/>
        </w:rPr>
        <w:t>This is encapsulated in t</w:t>
      </w:r>
      <w:r w:rsidR="00262F46">
        <w:rPr>
          <w:sz w:val="24"/>
          <w:szCs w:val="24"/>
        </w:rPr>
        <w:t xml:space="preserve">he FSC’s TMD template </w:t>
      </w:r>
      <w:r w:rsidR="00F04A65">
        <w:rPr>
          <w:sz w:val="24"/>
          <w:szCs w:val="24"/>
        </w:rPr>
        <w:t xml:space="preserve">for managed funds </w:t>
      </w:r>
      <w:r>
        <w:rPr>
          <w:sz w:val="24"/>
          <w:szCs w:val="24"/>
        </w:rPr>
        <w:t xml:space="preserve">which </w:t>
      </w:r>
      <w:r w:rsidR="00262F46">
        <w:rPr>
          <w:sz w:val="24"/>
          <w:szCs w:val="24"/>
        </w:rPr>
        <w:t>includes these words:</w:t>
      </w:r>
    </w:p>
    <w:p w14:paraId="7D39F2A7" w14:textId="38487403" w:rsidR="00342549" w:rsidRDefault="00342549" w:rsidP="0076751A">
      <w:pPr>
        <w:spacing w:before="60" w:after="60"/>
        <w:ind w:left="720"/>
        <w:rPr>
          <w:sz w:val="24"/>
          <w:szCs w:val="24"/>
        </w:rPr>
      </w:pPr>
      <w:r w:rsidRPr="00342549">
        <w:rPr>
          <w:sz w:val="24"/>
          <w:szCs w:val="24"/>
        </w:rPr>
        <w:t xml:space="preserve">A consumer (or class of consumer) may intend to hold a product as part of a diversified portfolio (typically with an intended product use of satellite/small allocation or core component). In such circumstances, the product should be assessed against the consumer’s attributes for the relevant portion of the portfolio, rather than the consumer’s </w:t>
      </w:r>
      <w:proofErr w:type="gramStart"/>
      <w:r w:rsidRPr="00342549">
        <w:rPr>
          <w:sz w:val="24"/>
          <w:szCs w:val="24"/>
        </w:rPr>
        <w:t>portfolio as a whole</w:t>
      </w:r>
      <w:proofErr w:type="gramEnd"/>
      <w:r w:rsidRPr="00342549">
        <w:rPr>
          <w:sz w:val="24"/>
          <w:szCs w:val="24"/>
        </w:rPr>
        <w:t xml:space="preserve">. For example, a consumer may seek to construct a conservative portfolio with a satellite/small allocation to growth assets. In this case, it may be likely that a product with a High or Very High risk/return profile is consistent with the consumer’s objectives for that allocation notwithstanding that the risk/return profile of the consumer </w:t>
      </w:r>
      <w:proofErr w:type="gramStart"/>
      <w:r w:rsidRPr="00342549">
        <w:rPr>
          <w:sz w:val="24"/>
          <w:szCs w:val="24"/>
        </w:rPr>
        <w:t>as a whole is</w:t>
      </w:r>
      <w:proofErr w:type="gramEnd"/>
      <w:r w:rsidRPr="00342549">
        <w:rPr>
          <w:sz w:val="24"/>
          <w:szCs w:val="24"/>
        </w:rPr>
        <w:t xml:space="preserve"> Low or Medium. In making this assessment, distributors should consider all features of a product (including its key attributes).</w:t>
      </w:r>
    </w:p>
    <w:p w14:paraId="6B82155D" w14:textId="0F2977EE" w:rsidR="00814A6C" w:rsidRDefault="00814A6C" w:rsidP="00AF3720">
      <w:pPr>
        <w:spacing w:before="60" w:after="60"/>
        <w:rPr>
          <w:sz w:val="24"/>
          <w:szCs w:val="24"/>
        </w:rPr>
      </w:pPr>
      <w:r>
        <w:rPr>
          <w:sz w:val="24"/>
          <w:szCs w:val="24"/>
        </w:rPr>
        <w:t xml:space="preserve">Not all </w:t>
      </w:r>
      <w:r w:rsidR="007622DF">
        <w:rPr>
          <w:sz w:val="24"/>
          <w:szCs w:val="24"/>
        </w:rPr>
        <w:t xml:space="preserve">published </w:t>
      </w:r>
      <w:r>
        <w:rPr>
          <w:sz w:val="24"/>
          <w:szCs w:val="24"/>
        </w:rPr>
        <w:t xml:space="preserve">TMDs will include this paragraph above, but that should not prevent distributors (including advisers) taking account of the principles </w:t>
      </w:r>
      <w:r w:rsidR="007622DF">
        <w:rPr>
          <w:sz w:val="24"/>
          <w:szCs w:val="24"/>
        </w:rPr>
        <w:t>in this paragraph.</w:t>
      </w:r>
    </w:p>
    <w:p w14:paraId="4E975C06" w14:textId="0DF3D088" w:rsidR="00AF3720" w:rsidRDefault="00AF3720" w:rsidP="00AF3720">
      <w:pPr>
        <w:spacing w:before="60" w:after="60"/>
        <w:rPr>
          <w:sz w:val="24"/>
          <w:szCs w:val="24"/>
        </w:rPr>
      </w:pPr>
      <w:r>
        <w:rPr>
          <w:sz w:val="24"/>
          <w:szCs w:val="24"/>
        </w:rPr>
        <w:t xml:space="preserve">Some examples </w:t>
      </w:r>
      <w:r w:rsidR="00441E75">
        <w:rPr>
          <w:sz w:val="24"/>
          <w:szCs w:val="24"/>
        </w:rPr>
        <w:t xml:space="preserve">of how this </w:t>
      </w:r>
      <w:r w:rsidR="007622DF">
        <w:rPr>
          <w:sz w:val="24"/>
          <w:szCs w:val="24"/>
        </w:rPr>
        <w:t xml:space="preserve">approach </w:t>
      </w:r>
      <w:r w:rsidR="00441E75">
        <w:rPr>
          <w:sz w:val="24"/>
          <w:szCs w:val="24"/>
        </w:rPr>
        <w:t>may operate</w:t>
      </w:r>
      <w:r w:rsidR="002A0C5E">
        <w:rPr>
          <w:sz w:val="24"/>
          <w:szCs w:val="24"/>
        </w:rPr>
        <w:t>:</w:t>
      </w:r>
    </w:p>
    <w:p w14:paraId="3EDB8691" w14:textId="4C35B9B9" w:rsidR="002A0C5E" w:rsidRPr="00D30DFE" w:rsidRDefault="002A0C5E" w:rsidP="002A0C5E">
      <w:pPr>
        <w:pStyle w:val="ListParagraph"/>
        <w:numPr>
          <w:ilvl w:val="0"/>
          <w:numId w:val="5"/>
        </w:numPr>
        <w:spacing w:before="60" w:after="60"/>
        <w:rPr>
          <w:sz w:val="24"/>
          <w:szCs w:val="24"/>
        </w:rPr>
      </w:pPr>
      <w:r>
        <w:rPr>
          <w:rFonts w:ascii="Calibri" w:hAnsi="Calibri" w:cs="Calibri"/>
          <w:sz w:val="24"/>
          <w:szCs w:val="24"/>
        </w:rPr>
        <w:t xml:space="preserve">An adviser is constructing a portfolio for a client wishing to receive regular income distribution. </w:t>
      </w:r>
      <w:r w:rsidR="000D3911">
        <w:rPr>
          <w:rFonts w:ascii="Calibri" w:hAnsi="Calibri" w:cs="Calibri"/>
          <w:sz w:val="24"/>
          <w:szCs w:val="24"/>
        </w:rPr>
        <w:t xml:space="preserve">The adviser </w:t>
      </w:r>
      <w:r w:rsidR="00C145AC">
        <w:rPr>
          <w:rFonts w:ascii="Calibri" w:hAnsi="Calibri" w:cs="Calibri"/>
          <w:sz w:val="24"/>
          <w:szCs w:val="24"/>
        </w:rPr>
        <w:t xml:space="preserve">determines that a </w:t>
      </w:r>
      <w:r w:rsidR="000D3911">
        <w:rPr>
          <w:rFonts w:ascii="Calibri" w:hAnsi="Calibri" w:cs="Calibri"/>
          <w:sz w:val="24"/>
          <w:szCs w:val="24"/>
        </w:rPr>
        <w:t>small part of the portfolio</w:t>
      </w:r>
      <w:r w:rsidR="00C145AC">
        <w:rPr>
          <w:rFonts w:ascii="Calibri" w:hAnsi="Calibri" w:cs="Calibri"/>
          <w:sz w:val="24"/>
          <w:szCs w:val="24"/>
        </w:rPr>
        <w:t xml:space="preserve"> can be allocated to </w:t>
      </w:r>
      <w:r w:rsidR="00F50625">
        <w:rPr>
          <w:rFonts w:ascii="Calibri" w:hAnsi="Calibri" w:cs="Calibri"/>
          <w:sz w:val="24"/>
          <w:szCs w:val="24"/>
        </w:rPr>
        <w:t>irregular income</w:t>
      </w:r>
      <w:r w:rsidR="00097486">
        <w:rPr>
          <w:rFonts w:ascii="Calibri" w:hAnsi="Calibri" w:cs="Calibri"/>
          <w:sz w:val="24"/>
          <w:szCs w:val="24"/>
        </w:rPr>
        <w:t xml:space="preserve"> </w:t>
      </w:r>
      <w:proofErr w:type="gramStart"/>
      <w:r w:rsidR="00097486">
        <w:rPr>
          <w:rFonts w:ascii="Calibri" w:hAnsi="Calibri" w:cs="Calibri"/>
          <w:sz w:val="24"/>
          <w:szCs w:val="24"/>
        </w:rPr>
        <w:t>products</w:t>
      </w:r>
      <w:r w:rsidR="00C145AC">
        <w:rPr>
          <w:rFonts w:ascii="Calibri" w:hAnsi="Calibri" w:cs="Calibri"/>
          <w:sz w:val="24"/>
          <w:szCs w:val="24"/>
        </w:rPr>
        <w:t>, and</w:t>
      </w:r>
      <w:proofErr w:type="gramEnd"/>
      <w:r w:rsidR="00C145AC">
        <w:rPr>
          <w:rFonts w:ascii="Calibri" w:hAnsi="Calibri" w:cs="Calibri"/>
          <w:sz w:val="24"/>
          <w:szCs w:val="24"/>
        </w:rPr>
        <w:t xml:space="preserve"> </w:t>
      </w:r>
      <w:r w:rsidR="00F50625">
        <w:rPr>
          <w:rFonts w:ascii="Calibri" w:hAnsi="Calibri" w:cs="Calibri"/>
          <w:sz w:val="24"/>
          <w:szCs w:val="24"/>
        </w:rPr>
        <w:t xml:space="preserve">includes in the portfolio </w:t>
      </w:r>
      <w:r w:rsidR="000D3911">
        <w:rPr>
          <w:rFonts w:ascii="Calibri" w:hAnsi="Calibri" w:cs="Calibri"/>
          <w:sz w:val="24"/>
          <w:szCs w:val="24"/>
        </w:rPr>
        <w:t xml:space="preserve">two </w:t>
      </w:r>
      <w:r w:rsidR="00634CED">
        <w:rPr>
          <w:rFonts w:ascii="Calibri" w:hAnsi="Calibri" w:cs="Calibri"/>
          <w:sz w:val="24"/>
          <w:szCs w:val="24"/>
        </w:rPr>
        <w:t xml:space="preserve">managed funds that provide irregular </w:t>
      </w:r>
      <w:r w:rsidR="00CC50C0">
        <w:rPr>
          <w:rFonts w:ascii="Calibri" w:hAnsi="Calibri" w:cs="Calibri"/>
          <w:sz w:val="24"/>
          <w:szCs w:val="24"/>
        </w:rPr>
        <w:t>and</w:t>
      </w:r>
      <w:r w:rsidR="00634CED">
        <w:rPr>
          <w:rFonts w:ascii="Calibri" w:hAnsi="Calibri" w:cs="Calibri"/>
          <w:sz w:val="24"/>
          <w:szCs w:val="24"/>
        </w:rPr>
        <w:t xml:space="preserve"> uncorrelated income distribution, even though these two funds are </w:t>
      </w:r>
      <w:r w:rsidR="001E3561">
        <w:rPr>
          <w:rFonts w:ascii="Calibri" w:hAnsi="Calibri" w:cs="Calibri"/>
          <w:sz w:val="24"/>
          <w:szCs w:val="24"/>
        </w:rPr>
        <w:t>rated red (outside target market) for income distribution</w:t>
      </w:r>
      <w:r w:rsidR="00294460">
        <w:rPr>
          <w:rFonts w:ascii="Calibri" w:hAnsi="Calibri" w:cs="Calibri"/>
          <w:sz w:val="24"/>
          <w:szCs w:val="24"/>
        </w:rPr>
        <w:t xml:space="preserve">. </w:t>
      </w:r>
      <w:proofErr w:type="gramStart"/>
      <w:r w:rsidR="00294460">
        <w:rPr>
          <w:rFonts w:ascii="Calibri" w:hAnsi="Calibri" w:cs="Calibri"/>
          <w:sz w:val="24"/>
          <w:szCs w:val="24"/>
        </w:rPr>
        <w:t>As long as</w:t>
      </w:r>
      <w:proofErr w:type="gramEnd"/>
      <w:r w:rsidR="00294460">
        <w:rPr>
          <w:rFonts w:ascii="Calibri" w:hAnsi="Calibri" w:cs="Calibri"/>
          <w:sz w:val="24"/>
          <w:szCs w:val="24"/>
        </w:rPr>
        <w:t xml:space="preserve"> the</w:t>
      </w:r>
      <w:r w:rsidR="00373563">
        <w:rPr>
          <w:rFonts w:ascii="Calibri" w:hAnsi="Calibri" w:cs="Calibri"/>
          <w:sz w:val="24"/>
          <w:szCs w:val="24"/>
        </w:rPr>
        <w:t>se two products meet the needs of the relevant part of the portfolio</w:t>
      </w:r>
      <w:r w:rsidR="00294460">
        <w:rPr>
          <w:rFonts w:ascii="Calibri" w:hAnsi="Calibri" w:cs="Calibri"/>
          <w:sz w:val="24"/>
          <w:szCs w:val="24"/>
        </w:rPr>
        <w:t xml:space="preserve">, the adviser classifies the customer as inside target market for </w:t>
      </w:r>
      <w:r w:rsidR="00373563">
        <w:rPr>
          <w:rFonts w:ascii="Calibri" w:hAnsi="Calibri" w:cs="Calibri"/>
          <w:sz w:val="24"/>
          <w:szCs w:val="24"/>
        </w:rPr>
        <w:t xml:space="preserve">that part of </w:t>
      </w:r>
      <w:r w:rsidR="008B224E">
        <w:rPr>
          <w:rFonts w:ascii="Calibri" w:hAnsi="Calibri" w:cs="Calibri"/>
          <w:sz w:val="24"/>
          <w:szCs w:val="24"/>
        </w:rPr>
        <w:t xml:space="preserve">the </w:t>
      </w:r>
      <w:r w:rsidR="002C4B4D">
        <w:rPr>
          <w:rFonts w:ascii="Calibri" w:hAnsi="Calibri" w:cs="Calibri"/>
          <w:sz w:val="24"/>
          <w:szCs w:val="24"/>
        </w:rPr>
        <w:t>portfolio.</w:t>
      </w:r>
    </w:p>
    <w:p w14:paraId="2E532A83" w14:textId="0B8C4266" w:rsidR="002A0C5E" w:rsidRPr="00441E75" w:rsidRDefault="00D30DFE" w:rsidP="008C6BE5">
      <w:pPr>
        <w:pStyle w:val="ListParagraph"/>
        <w:numPr>
          <w:ilvl w:val="0"/>
          <w:numId w:val="5"/>
        </w:numPr>
        <w:spacing w:before="60" w:after="60"/>
        <w:rPr>
          <w:sz w:val="24"/>
          <w:szCs w:val="24"/>
        </w:rPr>
      </w:pPr>
      <w:r w:rsidRPr="00F170E5">
        <w:rPr>
          <w:rFonts w:ascii="Calibri" w:hAnsi="Calibri" w:cs="Calibri"/>
          <w:sz w:val="24"/>
          <w:szCs w:val="24"/>
        </w:rPr>
        <w:t>An adviser</w:t>
      </w:r>
      <w:r w:rsidR="00F170E5" w:rsidRPr="00F170E5">
        <w:rPr>
          <w:rFonts w:ascii="Calibri" w:hAnsi="Calibri" w:cs="Calibri"/>
          <w:sz w:val="24"/>
          <w:szCs w:val="24"/>
        </w:rPr>
        <w:t xml:space="preserve"> has a client with a conservative portfolio</w:t>
      </w:r>
      <w:r w:rsidR="00F170E5">
        <w:rPr>
          <w:rFonts w:ascii="Calibri" w:hAnsi="Calibri" w:cs="Calibri"/>
          <w:sz w:val="24"/>
          <w:szCs w:val="24"/>
        </w:rPr>
        <w:t xml:space="preserve"> </w:t>
      </w:r>
      <w:r w:rsidR="00AD2840">
        <w:rPr>
          <w:rFonts w:ascii="Calibri" w:hAnsi="Calibri" w:cs="Calibri"/>
          <w:sz w:val="24"/>
          <w:szCs w:val="24"/>
        </w:rPr>
        <w:t xml:space="preserve">that includes </w:t>
      </w:r>
      <w:r w:rsidR="00F170E5">
        <w:rPr>
          <w:rFonts w:ascii="Calibri" w:hAnsi="Calibri" w:cs="Calibri"/>
          <w:sz w:val="24"/>
          <w:szCs w:val="24"/>
        </w:rPr>
        <w:t xml:space="preserve">a small allocation to </w:t>
      </w:r>
      <w:r w:rsidR="00C11C1B">
        <w:rPr>
          <w:rFonts w:ascii="Calibri" w:hAnsi="Calibri" w:cs="Calibri"/>
          <w:sz w:val="24"/>
          <w:szCs w:val="24"/>
        </w:rPr>
        <w:t xml:space="preserve">high risk/return </w:t>
      </w:r>
      <w:proofErr w:type="gramStart"/>
      <w:r w:rsidR="00C11C1B">
        <w:rPr>
          <w:rFonts w:ascii="Calibri" w:hAnsi="Calibri" w:cs="Calibri"/>
          <w:sz w:val="24"/>
          <w:szCs w:val="24"/>
        </w:rPr>
        <w:t>products, and</w:t>
      </w:r>
      <w:proofErr w:type="gramEnd"/>
      <w:r w:rsidR="00C11C1B">
        <w:rPr>
          <w:rFonts w:ascii="Calibri" w:hAnsi="Calibri" w:cs="Calibri"/>
          <w:sz w:val="24"/>
          <w:szCs w:val="24"/>
        </w:rPr>
        <w:t xml:space="preserve"> includes in this component of the portfolio </w:t>
      </w:r>
      <w:r w:rsidR="00F170E5">
        <w:rPr>
          <w:rFonts w:ascii="Calibri" w:hAnsi="Calibri" w:cs="Calibri"/>
          <w:sz w:val="24"/>
          <w:szCs w:val="24"/>
        </w:rPr>
        <w:t>a growth fund</w:t>
      </w:r>
      <w:r w:rsidR="00F170E5" w:rsidRPr="00F170E5">
        <w:rPr>
          <w:rFonts w:ascii="Calibri" w:hAnsi="Calibri" w:cs="Calibri"/>
          <w:sz w:val="24"/>
          <w:szCs w:val="24"/>
        </w:rPr>
        <w:t xml:space="preserve">. </w:t>
      </w:r>
      <w:r w:rsidR="00F170E5">
        <w:rPr>
          <w:rFonts w:ascii="Calibri" w:hAnsi="Calibri" w:cs="Calibri"/>
          <w:sz w:val="24"/>
          <w:szCs w:val="24"/>
        </w:rPr>
        <w:t xml:space="preserve">The adviser recommends the client replace this growth fund investment with another growth fund. The adviser assesses that the </w:t>
      </w:r>
      <w:r w:rsidR="00757E58">
        <w:rPr>
          <w:rFonts w:ascii="Calibri" w:hAnsi="Calibri" w:cs="Calibri"/>
          <w:sz w:val="24"/>
          <w:szCs w:val="24"/>
        </w:rPr>
        <w:t xml:space="preserve">replacement </w:t>
      </w:r>
      <w:r w:rsidR="00992186">
        <w:rPr>
          <w:rFonts w:ascii="Calibri" w:hAnsi="Calibri" w:cs="Calibri"/>
          <w:sz w:val="24"/>
          <w:szCs w:val="24"/>
        </w:rPr>
        <w:t xml:space="preserve">growth fund will meet the needs of the small allocation of the client’s portfolio to </w:t>
      </w:r>
      <w:r w:rsidR="00992186">
        <w:rPr>
          <w:rFonts w:ascii="Calibri" w:hAnsi="Calibri" w:cs="Calibri"/>
          <w:sz w:val="24"/>
          <w:szCs w:val="24"/>
        </w:rPr>
        <w:lastRenderedPageBreak/>
        <w:t>high risk/return products</w:t>
      </w:r>
      <w:r w:rsidR="00F170E5">
        <w:rPr>
          <w:rFonts w:ascii="Calibri" w:hAnsi="Calibri" w:cs="Calibri"/>
          <w:sz w:val="24"/>
          <w:szCs w:val="24"/>
        </w:rPr>
        <w:t>.</w:t>
      </w:r>
      <w:r w:rsidR="00AD2840">
        <w:rPr>
          <w:rFonts w:ascii="Calibri" w:hAnsi="Calibri" w:cs="Calibri"/>
          <w:sz w:val="24"/>
          <w:szCs w:val="24"/>
        </w:rPr>
        <w:t xml:space="preserve"> The adviser classifies the customer as being inside the target market for the growth fund, even though the fund is rated red (outside target market) for </w:t>
      </w:r>
      <w:r w:rsidR="00441E75">
        <w:rPr>
          <w:rFonts w:ascii="Calibri" w:hAnsi="Calibri" w:cs="Calibri"/>
          <w:sz w:val="24"/>
          <w:szCs w:val="24"/>
        </w:rPr>
        <w:t>low risk/return.</w:t>
      </w:r>
      <w:r w:rsidR="00F170E5">
        <w:rPr>
          <w:rFonts w:ascii="Calibri" w:hAnsi="Calibri" w:cs="Calibri"/>
          <w:sz w:val="24"/>
          <w:szCs w:val="24"/>
        </w:rPr>
        <w:t xml:space="preserve"> </w:t>
      </w:r>
    </w:p>
    <w:p w14:paraId="44A4EB32" w14:textId="40BCC325" w:rsidR="00441E75" w:rsidRPr="00F170E5" w:rsidRDefault="00DB47E5" w:rsidP="008C6BE5">
      <w:pPr>
        <w:pStyle w:val="ListParagraph"/>
        <w:numPr>
          <w:ilvl w:val="0"/>
          <w:numId w:val="5"/>
        </w:numPr>
        <w:spacing w:before="60" w:after="60"/>
        <w:rPr>
          <w:sz w:val="24"/>
          <w:szCs w:val="24"/>
        </w:rPr>
      </w:pPr>
      <w:r>
        <w:rPr>
          <w:rFonts w:ascii="Calibri" w:hAnsi="Calibri" w:cs="Calibri"/>
          <w:sz w:val="24"/>
          <w:szCs w:val="24"/>
        </w:rPr>
        <w:t>Based on advice, a</w:t>
      </w:r>
      <w:r w:rsidR="00441E75">
        <w:rPr>
          <w:rFonts w:ascii="Calibri" w:hAnsi="Calibri" w:cs="Calibri"/>
          <w:sz w:val="24"/>
          <w:szCs w:val="24"/>
        </w:rPr>
        <w:t xml:space="preserve"> client wishes to </w:t>
      </w:r>
      <w:r w:rsidR="00542D3D">
        <w:rPr>
          <w:rFonts w:ascii="Calibri" w:hAnsi="Calibri" w:cs="Calibri"/>
          <w:sz w:val="24"/>
          <w:szCs w:val="24"/>
        </w:rPr>
        <w:t xml:space="preserve">increase their portfolio </w:t>
      </w:r>
      <w:r>
        <w:rPr>
          <w:rFonts w:ascii="Calibri" w:hAnsi="Calibri" w:cs="Calibri"/>
          <w:sz w:val="24"/>
          <w:szCs w:val="24"/>
        </w:rPr>
        <w:t xml:space="preserve">allocation to high </w:t>
      </w:r>
      <w:r w:rsidR="00542D3D">
        <w:rPr>
          <w:rFonts w:ascii="Calibri" w:hAnsi="Calibri" w:cs="Calibri"/>
          <w:sz w:val="24"/>
          <w:szCs w:val="24"/>
        </w:rPr>
        <w:t>risk</w:t>
      </w:r>
      <w:r w:rsidR="008B5EDB">
        <w:rPr>
          <w:rFonts w:ascii="Calibri" w:hAnsi="Calibri" w:cs="Calibri"/>
          <w:sz w:val="24"/>
          <w:szCs w:val="24"/>
        </w:rPr>
        <w:t>/return</w:t>
      </w:r>
      <w:r w:rsidR="00542D3D">
        <w:rPr>
          <w:rFonts w:ascii="Calibri" w:hAnsi="Calibri" w:cs="Calibri"/>
          <w:sz w:val="24"/>
          <w:szCs w:val="24"/>
        </w:rPr>
        <w:t xml:space="preserve"> </w:t>
      </w:r>
      <w:r>
        <w:rPr>
          <w:rFonts w:ascii="Calibri" w:hAnsi="Calibri" w:cs="Calibri"/>
          <w:sz w:val="24"/>
          <w:szCs w:val="24"/>
        </w:rPr>
        <w:t>products</w:t>
      </w:r>
      <w:r w:rsidR="00542D3D">
        <w:rPr>
          <w:rFonts w:ascii="Calibri" w:hAnsi="Calibri" w:cs="Calibri"/>
          <w:sz w:val="24"/>
          <w:szCs w:val="24"/>
        </w:rPr>
        <w:t xml:space="preserve">. As part of rebalancing the portfolio, the adviser removes some low, medium and </w:t>
      </w:r>
      <w:proofErr w:type="gramStart"/>
      <w:r w:rsidR="00542D3D">
        <w:rPr>
          <w:rFonts w:ascii="Calibri" w:hAnsi="Calibri" w:cs="Calibri"/>
          <w:sz w:val="24"/>
          <w:szCs w:val="24"/>
        </w:rPr>
        <w:t>high risk</w:t>
      </w:r>
      <w:proofErr w:type="gramEnd"/>
      <w:r w:rsidR="00542D3D">
        <w:rPr>
          <w:rFonts w:ascii="Calibri" w:hAnsi="Calibri" w:cs="Calibri"/>
          <w:sz w:val="24"/>
          <w:szCs w:val="24"/>
        </w:rPr>
        <w:t xml:space="preserve"> </w:t>
      </w:r>
      <w:r w:rsidR="008B5EDB">
        <w:rPr>
          <w:rFonts w:ascii="Calibri" w:hAnsi="Calibri" w:cs="Calibri"/>
          <w:sz w:val="24"/>
          <w:szCs w:val="24"/>
        </w:rPr>
        <w:t xml:space="preserve">funds and adds other low, medium and high risk funds. After the change, </w:t>
      </w:r>
      <w:r w:rsidR="00EE4600">
        <w:rPr>
          <w:rFonts w:ascii="Calibri" w:hAnsi="Calibri" w:cs="Calibri"/>
          <w:sz w:val="24"/>
          <w:szCs w:val="24"/>
        </w:rPr>
        <w:t>the</w:t>
      </w:r>
      <w:r>
        <w:rPr>
          <w:rFonts w:ascii="Calibri" w:hAnsi="Calibri" w:cs="Calibri"/>
          <w:sz w:val="24"/>
          <w:szCs w:val="24"/>
        </w:rPr>
        <w:t xml:space="preserve"> portfolio </w:t>
      </w:r>
      <w:r w:rsidR="00157D91">
        <w:rPr>
          <w:rFonts w:ascii="Calibri" w:hAnsi="Calibri" w:cs="Calibri"/>
          <w:sz w:val="24"/>
          <w:szCs w:val="24"/>
        </w:rPr>
        <w:t>consists</w:t>
      </w:r>
      <w:r w:rsidR="009E32C0">
        <w:rPr>
          <w:rFonts w:ascii="Calibri" w:hAnsi="Calibri" w:cs="Calibri"/>
          <w:sz w:val="24"/>
          <w:szCs w:val="24"/>
        </w:rPr>
        <w:t xml:space="preserve"> of </w:t>
      </w:r>
      <w:proofErr w:type="gramStart"/>
      <w:r w:rsidR="009E32C0">
        <w:rPr>
          <w:rFonts w:ascii="Calibri" w:hAnsi="Calibri" w:cs="Calibri"/>
          <w:sz w:val="24"/>
          <w:szCs w:val="24"/>
        </w:rPr>
        <w:t>low risk</w:t>
      </w:r>
      <w:proofErr w:type="gramEnd"/>
      <w:r w:rsidR="009E32C0">
        <w:rPr>
          <w:rFonts w:ascii="Calibri" w:hAnsi="Calibri" w:cs="Calibri"/>
          <w:sz w:val="24"/>
          <w:szCs w:val="24"/>
        </w:rPr>
        <w:t xml:space="preserve"> products in the low risk component of the (adjusted) portfolio, medium risk</w:t>
      </w:r>
      <w:r w:rsidR="00EE4600">
        <w:rPr>
          <w:rFonts w:ascii="Calibri" w:hAnsi="Calibri" w:cs="Calibri"/>
          <w:sz w:val="24"/>
          <w:szCs w:val="24"/>
        </w:rPr>
        <w:t xml:space="preserve"> products in the medium risk component, and so on. </w:t>
      </w:r>
      <w:r w:rsidR="008B5EDB">
        <w:rPr>
          <w:rFonts w:ascii="Calibri" w:hAnsi="Calibri" w:cs="Calibri"/>
          <w:sz w:val="24"/>
          <w:szCs w:val="24"/>
        </w:rPr>
        <w:t xml:space="preserve">The adviser classifies the customer as being inside the target market </w:t>
      </w:r>
      <w:r w:rsidR="00827255">
        <w:rPr>
          <w:rFonts w:ascii="Calibri" w:hAnsi="Calibri" w:cs="Calibri"/>
          <w:sz w:val="24"/>
          <w:szCs w:val="24"/>
        </w:rPr>
        <w:t>for all the funds</w:t>
      </w:r>
      <w:r w:rsidR="00DC5897">
        <w:rPr>
          <w:rFonts w:ascii="Calibri" w:hAnsi="Calibri" w:cs="Calibri"/>
          <w:sz w:val="24"/>
          <w:szCs w:val="24"/>
        </w:rPr>
        <w:t xml:space="preserve"> in the portfolio</w:t>
      </w:r>
      <w:r w:rsidR="00827255">
        <w:rPr>
          <w:rFonts w:ascii="Calibri" w:hAnsi="Calibri" w:cs="Calibri"/>
          <w:sz w:val="24"/>
          <w:szCs w:val="24"/>
        </w:rPr>
        <w:t xml:space="preserve">, even though some of the funds may be </w:t>
      </w:r>
      <w:r w:rsidR="00D9506B">
        <w:rPr>
          <w:rFonts w:ascii="Calibri" w:hAnsi="Calibri" w:cs="Calibri"/>
          <w:sz w:val="24"/>
          <w:szCs w:val="24"/>
        </w:rPr>
        <w:t>outside the target market for a customer seeking high risk/return.</w:t>
      </w:r>
    </w:p>
    <w:p w14:paraId="5D6BDBD9" w14:textId="34E3DE64" w:rsidR="00D9506B" w:rsidRDefault="000446C5" w:rsidP="00504D5C">
      <w:pPr>
        <w:spacing w:before="60" w:after="60"/>
        <w:rPr>
          <w:sz w:val="24"/>
          <w:szCs w:val="24"/>
        </w:rPr>
      </w:pPr>
      <w:r w:rsidRPr="000446C5">
        <w:rPr>
          <w:sz w:val="24"/>
          <w:szCs w:val="24"/>
        </w:rPr>
        <w:t xml:space="preserve">Note the above does not mean </w:t>
      </w:r>
      <w:r>
        <w:rPr>
          <w:sz w:val="24"/>
          <w:szCs w:val="24"/>
        </w:rPr>
        <w:t xml:space="preserve">that distributors can ignore TMDs when constructing portfolios, </w:t>
      </w:r>
      <w:r w:rsidR="003C5B56">
        <w:rPr>
          <w:sz w:val="24"/>
          <w:szCs w:val="24"/>
        </w:rPr>
        <w:t xml:space="preserve">and certain parts of TMDs need to be applied on a </w:t>
      </w:r>
      <w:proofErr w:type="gramStart"/>
      <w:r w:rsidR="003C5B56">
        <w:rPr>
          <w:sz w:val="24"/>
          <w:szCs w:val="24"/>
        </w:rPr>
        <w:t>product by product</w:t>
      </w:r>
      <w:proofErr w:type="gramEnd"/>
      <w:r w:rsidR="003C5B56">
        <w:rPr>
          <w:sz w:val="24"/>
          <w:szCs w:val="24"/>
        </w:rPr>
        <w:t xml:space="preserve"> basis, in particular </w:t>
      </w:r>
      <w:r w:rsidR="00FF0E44">
        <w:rPr>
          <w:sz w:val="24"/>
          <w:szCs w:val="24"/>
        </w:rPr>
        <w:t>distribution conditions and reporting requirements.</w:t>
      </w:r>
    </w:p>
    <w:p w14:paraId="4E033C45" w14:textId="4D68C460" w:rsidR="00E80745" w:rsidRPr="000446C5" w:rsidRDefault="00E80745" w:rsidP="00504D5C">
      <w:pPr>
        <w:spacing w:before="60" w:after="60"/>
        <w:rPr>
          <w:sz w:val="24"/>
          <w:szCs w:val="24"/>
        </w:rPr>
      </w:pPr>
      <w:r>
        <w:rPr>
          <w:sz w:val="24"/>
          <w:szCs w:val="24"/>
        </w:rPr>
        <w:t xml:space="preserve">Also importantly, </w:t>
      </w:r>
      <w:r w:rsidR="00D532E0">
        <w:rPr>
          <w:sz w:val="24"/>
          <w:szCs w:val="24"/>
        </w:rPr>
        <w:t xml:space="preserve">distributors providing personal financial advice should consider the TMD in connection with the adviser </w:t>
      </w:r>
      <w:r w:rsidR="00A62174">
        <w:rPr>
          <w:sz w:val="24"/>
          <w:szCs w:val="24"/>
        </w:rPr>
        <w:t xml:space="preserve">Best Interests Duty </w:t>
      </w:r>
      <w:r w:rsidR="002F5898">
        <w:rPr>
          <w:sz w:val="24"/>
          <w:szCs w:val="24"/>
        </w:rPr>
        <w:t>in Part 7.7A of the Act when advising the client</w:t>
      </w:r>
      <w:r w:rsidR="00D532E0">
        <w:rPr>
          <w:sz w:val="24"/>
          <w:szCs w:val="24"/>
        </w:rPr>
        <w:t>.</w:t>
      </w:r>
    </w:p>
    <w:p w14:paraId="2025EE0C" w14:textId="77777777" w:rsidR="000446C5" w:rsidRDefault="000446C5" w:rsidP="00504D5C">
      <w:pPr>
        <w:spacing w:before="60" w:after="60"/>
        <w:rPr>
          <w:b/>
          <w:bCs/>
          <w:sz w:val="24"/>
          <w:szCs w:val="24"/>
        </w:rPr>
      </w:pPr>
    </w:p>
    <w:p w14:paraId="55D487D9" w14:textId="10E28743" w:rsidR="00D455E8" w:rsidRPr="009A2B99" w:rsidRDefault="00994CA3" w:rsidP="005C4D80">
      <w:pPr>
        <w:keepNext/>
        <w:spacing w:before="60" w:after="60"/>
        <w:rPr>
          <w:b/>
          <w:bCs/>
          <w:sz w:val="24"/>
          <w:szCs w:val="24"/>
        </w:rPr>
      </w:pPr>
      <w:r>
        <w:rPr>
          <w:b/>
          <w:bCs/>
          <w:sz w:val="24"/>
          <w:szCs w:val="24"/>
        </w:rPr>
        <w:t>2</w:t>
      </w:r>
      <w:r w:rsidR="00D455E8" w:rsidRPr="009A2B99">
        <w:rPr>
          <w:b/>
          <w:bCs/>
          <w:sz w:val="24"/>
          <w:szCs w:val="24"/>
        </w:rPr>
        <w:t>. Distribution outside of Target Market</w:t>
      </w:r>
    </w:p>
    <w:p w14:paraId="62021954" w14:textId="1EA975F8" w:rsidR="00D455E8" w:rsidRPr="009A2B99" w:rsidRDefault="00D455E8" w:rsidP="00504D5C">
      <w:pPr>
        <w:spacing w:before="60" w:after="60"/>
        <w:rPr>
          <w:i/>
          <w:iCs/>
          <w:sz w:val="24"/>
          <w:szCs w:val="24"/>
        </w:rPr>
      </w:pPr>
      <w:r w:rsidRPr="009A2B99">
        <w:rPr>
          <w:i/>
          <w:iCs/>
          <w:sz w:val="24"/>
          <w:szCs w:val="24"/>
        </w:rPr>
        <w:t>Q</w:t>
      </w:r>
      <w:r w:rsidR="009A2B99">
        <w:rPr>
          <w:i/>
          <w:iCs/>
          <w:sz w:val="24"/>
          <w:szCs w:val="24"/>
        </w:rPr>
        <w:t>uestion</w:t>
      </w:r>
      <w:r w:rsidRPr="009A2B99">
        <w:rPr>
          <w:i/>
          <w:iCs/>
          <w:sz w:val="24"/>
          <w:szCs w:val="24"/>
        </w:rPr>
        <w:t xml:space="preserve">: Should distributors </w:t>
      </w:r>
      <w:r w:rsidRPr="009A2B99">
        <w:rPr>
          <w:i/>
          <w:iCs/>
          <w:sz w:val="24"/>
          <w:szCs w:val="24"/>
          <w:u w:val="single"/>
        </w:rPr>
        <w:t>always</w:t>
      </w:r>
      <w:r w:rsidRPr="009A2B99">
        <w:rPr>
          <w:i/>
          <w:iCs/>
          <w:sz w:val="24"/>
          <w:szCs w:val="24"/>
        </w:rPr>
        <w:t xml:space="preserve"> prevent distribution that is outside of the target market as identified in the Target Market Determination (TMD)?</w:t>
      </w:r>
    </w:p>
    <w:p w14:paraId="5FF60180" w14:textId="77777777" w:rsidR="00097486" w:rsidRDefault="00D455E8" w:rsidP="00504D5C">
      <w:pPr>
        <w:spacing w:before="60" w:after="60"/>
        <w:rPr>
          <w:sz w:val="24"/>
          <w:szCs w:val="24"/>
        </w:rPr>
      </w:pPr>
      <w:r>
        <w:rPr>
          <w:sz w:val="24"/>
          <w:szCs w:val="24"/>
        </w:rPr>
        <w:t>A</w:t>
      </w:r>
      <w:r w:rsidR="009A2B99">
        <w:rPr>
          <w:sz w:val="24"/>
          <w:szCs w:val="24"/>
        </w:rPr>
        <w:t>nswer</w:t>
      </w:r>
      <w:r>
        <w:rPr>
          <w:sz w:val="24"/>
          <w:szCs w:val="24"/>
        </w:rPr>
        <w:t>: No</w:t>
      </w:r>
      <w:r w:rsidR="00FD6F82">
        <w:rPr>
          <w:sz w:val="24"/>
          <w:szCs w:val="24"/>
        </w:rPr>
        <w:t>t always</w:t>
      </w:r>
      <w:r>
        <w:rPr>
          <w:sz w:val="24"/>
          <w:szCs w:val="24"/>
        </w:rPr>
        <w:t>.</w:t>
      </w:r>
      <w:r w:rsidR="00994CA3">
        <w:rPr>
          <w:sz w:val="24"/>
          <w:szCs w:val="24"/>
        </w:rPr>
        <w:t xml:space="preserve"> </w:t>
      </w:r>
      <w:r w:rsidR="00E70816">
        <w:rPr>
          <w:sz w:val="24"/>
          <w:szCs w:val="24"/>
        </w:rPr>
        <w:t>T</w:t>
      </w:r>
      <w:r w:rsidR="005A7554">
        <w:rPr>
          <w:sz w:val="24"/>
          <w:szCs w:val="24"/>
        </w:rPr>
        <w:t xml:space="preserve">here </w:t>
      </w:r>
      <w:r w:rsidR="00FF0E44">
        <w:rPr>
          <w:sz w:val="24"/>
          <w:szCs w:val="24"/>
        </w:rPr>
        <w:t>will</w:t>
      </w:r>
      <w:r w:rsidR="005A7554">
        <w:rPr>
          <w:sz w:val="24"/>
          <w:szCs w:val="24"/>
        </w:rPr>
        <w:t xml:space="preserve"> be good reasons to prevent distribution that is </w:t>
      </w:r>
      <w:r w:rsidR="00E70816">
        <w:rPr>
          <w:sz w:val="24"/>
          <w:szCs w:val="24"/>
        </w:rPr>
        <w:t xml:space="preserve">outside target market </w:t>
      </w:r>
      <w:r w:rsidR="005A7554">
        <w:rPr>
          <w:sz w:val="24"/>
          <w:szCs w:val="24"/>
        </w:rPr>
        <w:t>in a range of circumstances</w:t>
      </w:r>
      <w:r w:rsidR="00097486">
        <w:rPr>
          <w:sz w:val="24"/>
          <w:szCs w:val="24"/>
        </w:rPr>
        <w:t>, h</w:t>
      </w:r>
      <w:r w:rsidR="00E70816">
        <w:rPr>
          <w:sz w:val="24"/>
          <w:szCs w:val="24"/>
        </w:rPr>
        <w:t xml:space="preserve">owever, </w:t>
      </w:r>
      <w:r w:rsidR="005A7554">
        <w:rPr>
          <w:sz w:val="24"/>
          <w:szCs w:val="24"/>
        </w:rPr>
        <w:t xml:space="preserve">there is no requirement under the Act for distributors to </w:t>
      </w:r>
      <w:r w:rsidR="00E70816">
        <w:rPr>
          <w:sz w:val="24"/>
          <w:szCs w:val="24"/>
        </w:rPr>
        <w:t xml:space="preserve">prevent </w:t>
      </w:r>
      <w:r w:rsidR="00E70816">
        <w:rPr>
          <w:sz w:val="24"/>
          <w:szCs w:val="24"/>
          <w:u w:val="single"/>
        </w:rPr>
        <w:t>all</w:t>
      </w:r>
      <w:r w:rsidR="00E70816">
        <w:rPr>
          <w:sz w:val="24"/>
          <w:szCs w:val="24"/>
        </w:rPr>
        <w:t xml:space="preserve"> distribution that is outside </w:t>
      </w:r>
      <w:r w:rsidR="00552821">
        <w:rPr>
          <w:sz w:val="24"/>
          <w:szCs w:val="24"/>
        </w:rPr>
        <w:t xml:space="preserve">target market. </w:t>
      </w:r>
    </w:p>
    <w:p w14:paraId="3B2DE84D" w14:textId="380FABDD" w:rsidR="00A50241" w:rsidRDefault="00A50241" w:rsidP="00504D5C">
      <w:pPr>
        <w:spacing w:before="60" w:after="60"/>
        <w:rPr>
          <w:sz w:val="24"/>
          <w:szCs w:val="24"/>
        </w:rPr>
      </w:pPr>
      <w:r>
        <w:rPr>
          <w:rFonts w:asciiTheme="minorHAnsi" w:hAnsiTheme="minorHAnsi" w:cstheme="minorHAnsi"/>
          <w:sz w:val="24"/>
          <w:szCs w:val="24"/>
        </w:rPr>
        <w:t>In particular, t</w:t>
      </w:r>
      <w:r w:rsidRPr="00E06D64">
        <w:rPr>
          <w:rFonts w:asciiTheme="minorHAnsi" w:hAnsiTheme="minorHAnsi" w:cstheme="minorHAnsi"/>
          <w:sz w:val="24"/>
          <w:szCs w:val="24"/>
        </w:rPr>
        <w:t xml:space="preserve">he DDO </w:t>
      </w:r>
      <w:r>
        <w:rPr>
          <w:rFonts w:asciiTheme="minorHAnsi" w:hAnsiTheme="minorHAnsi" w:cstheme="minorHAnsi"/>
          <w:sz w:val="24"/>
          <w:szCs w:val="24"/>
        </w:rPr>
        <w:t>does not require</w:t>
      </w:r>
      <w:r w:rsidRPr="00E06D64">
        <w:rPr>
          <w:rFonts w:asciiTheme="minorHAnsi" w:hAnsiTheme="minorHAnsi" w:cstheme="minorHAnsi"/>
          <w:sz w:val="24"/>
          <w:szCs w:val="24"/>
        </w:rPr>
        <w:t xml:space="preserve"> an individual suitability test</w:t>
      </w:r>
      <w:r>
        <w:rPr>
          <w:rFonts w:asciiTheme="minorHAnsi" w:hAnsiTheme="minorHAnsi" w:cstheme="minorHAnsi"/>
          <w:sz w:val="24"/>
          <w:szCs w:val="24"/>
        </w:rPr>
        <w:t xml:space="preserve"> for every customer</w:t>
      </w:r>
      <w:r w:rsidR="00BA4C69">
        <w:rPr>
          <w:rFonts w:asciiTheme="minorHAnsi" w:hAnsiTheme="minorHAnsi" w:cstheme="minorHAnsi"/>
          <w:sz w:val="24"/>
          <w:szCs w:val="24"/>
        </w:rPr>
        <w:t xml:space="preserve"> – </w:t>
      </w:r>
      <w:r w:rsidR="007D23AD">
        <w:rPr>
          <w:rFonts w:asciiTheme="minorHAnsi" w:hAnsiTheme="minorHAnsi" w:cstheme="minorHAnsi"/>
          <w:sz w:val="24"/>
          <w:szCs w:val="24"/>
        </w:rPr>
        <w:t xml:space="preserve">so </w:t>
      </w:r>
      <w:r w:rsidR="00BA4C69">
        <w:rPr>
          <w:rFonts w:asciiTheme="minorHAnsi" w:hAnsiTheme="minorHAnsi" w:cstheme="minorHAnsi"/>
          <w:sz w:val="24"/>
          <w:szCs w:val="24"/>
        </w:rPr>
        <w:t>the regime does not require issuers and distributors to asses</w:t>
      </w:r>
      <w:r w:rsidR="004363DF">
        <w:rPr>
          <w:rFonts w:asciiTheme="minorHAnsi" w:hAnsiTheme="minorHAnsi" w:cstheme="minorHAnsi"/>
          <w:sz w:val="24"/>
          <w:szCs w:val="24"/>
        </w:rPr>
        <w:t>s</w:t>
      </w:r>
      <w:r w:rsidR="00BA4C69">
        <w:rPr>
          <w:rFonts w:asciiTheme="minorHAnsi" w:hAnsiTheme="minorHAnsi" w:cstheme="minorHAnsi"/>
          <w:sz w:val="24"/>
          <w:szCs w:val="24"/>
        </w:rPr>
        <w:t xml:space="preserve"> each customer against the </w:t>
      </w:r>
      <w:r w:rsidR="007D23AD">
        <w:rPr>
          <w:rFonts w:asciiTheme="minorHAnsi" w:hAnsiTheme="minorHAnsi" w:cstheme="minorHAnsi"/>
          <w:sz w:val="24"/>
          <w:szCs w:val="24"/>
        </w:rPr>
        <w:t>TMD for the relevant product</w:t>
      </w:r>
      <w:r>
        <w:rPr>
          <w:rFonts w:asciiTheme="minorHAnsi" w:hAnsiTheme="minorHAnsi" w:cstheme="minorHAnsi"/>
          <w:sz w:val="24"/>
          <w:szCs w:val="24"/>
        </w:rPr>
        <w:t>.</w:t>
      </w:r>
      <w:r w:rsidR="002E22A9">
        <w:rPr>
          <w:rFonts w:asciiTheme="minorHAnsi" w:hAnsiTheme="minorHAnsi" w:cstheme="minorHAnsi"/>
          <w:sz w:val="24"/>
          <w:szCs w:val="24"/>
        </w:rPr>
        <w:t xml:space="preserve"> </w:t>
      </w:r>
    </w:p>
    <w:p w14:paraId="2223A6FC" w14:textId="336FB816" w:rsidR="0046111F" w:rsidRDefault="00252FFB" w:rsidP="00504D5C">
      <w:pPr>
        <w:spacing w:before="60" w:after="60"/>
        <w:rPr>
          <w:sz w:val="24"/>
          <w:szCs w:val="24"/>
        </w:rPr>
      </w:pPr>
      <w:r>
        <w:rPr>
          <w:sz w:val="24"/>
          <w:szCs w:val="24"/>
        </w:rPr>
        <w:t>Instead</w:t>
      </w:r>
      <w:r w:rsidR="0046111F">
        <w:rPr>
          <w:sz w:val="24"/>
          <w:szCs w:val="24"/>
        </w:rPr>
        <w:t>:</w:t>
      </w:r>
    </w:p>
    <w:p w14:paraId="1502C307" w14:textId="09FFD786" w:rsidR="00FD6F82" w:rsidRDefault="003B2A88" w:rsidP="0046111F">
      <w:pPr>
        <w:pStyle w:val="ListParagraph"/>
        <w:numPr>
          <w:ilvl w:val="0"/>
          <w:numId w:val="2"/>
        </w:numPr>
        <w:spacing w:before="60" w:after="60"/>
        <w:rPr>
          <w:rFonts w:asciiTheme="minorHAnsi" w:hAnsiTheme="minorHAnsi" w:cstheme="minorHAnsi"/>
          <w:sz w:val="24"/>
          <w:szCs w:val="24"/>
        </w:rPr>
      </w:pPr>
      <w:r>
        <w:rPr>
          <w:rFonts w:asciiTheme="minorHAnsi" w:hAnsiTheme="minorHAnsi" w:cstheme="minorHAnsi"/>
          <w:sz w:val="24"/>
          <w:szCs w:val="24"/>
        </w:rPr>
        <w:t>D</w:t>
      </w:r>
      <w:r w:rsidR="0046111F">
        <w:rPr>
          <w:rFonts w:asciiTheme="minorHAnsi" w:hAnsiTheme="minorHAnsi" w:cstheme="minorHAnsi"/>
          <w:sz w:val="24"/>
          <w:szCs w:val="24"/>
        </w:rPr>
        <w:t xml:space="preserve">istributors who provide personal financial advice </w:t>
      </w:r>
      <w:r w:rsidR="006456E0">
        <w:rPr>
          <w:rFonts w:asciiTheme="minorHAnsi" w:hAnsiTheme="minorHAnsi" w:cstheme="minorHAnsi"/>
          <w:sz w:val="24"/>
          <w:szCs w:val="24"/>
        </w:rPr>
        <w:t xml:space="preserve">must follow </w:t>
      </w:r>
      <w:r w:rsidR="00FF0E44">
        <w:rPr>
          <w:rFonts w:asciiTheme="minorHAnsi" w:hAnsiTheme="minorHAnsi" w:cstheme="minorHAnsi"/>
          <w:sz w:val="24"/>
          <w:szCs w:val="24"/>
        </w:rPr>
        <w:t>the</w:t>
      </w:r>
      <w:r w:rsidR="006456E0">
        <w:rPr>
          <w:rFonts w:asciiTheme="minorHAnsi" w:hAnsiTheme="minorHAnsi" w:cstheme="minorHAnsi"/>
          <w:sz w:val="24"/>
          <w:szCs w:val="24"/>
        </w:rPr>
        <w:t xml:space="preserve"> Best Interests Duty</w:t>
      </w:r>
      <w:r w:rsidR="00D9506B">
        <w:rPr>
          <w:rFonts w:asciiTheme="minorHAnsi" w:hAnsiTheme="minorHAnsi" w:cstheme="minorHAnsi"/>
          <w:sz w:val="24"/>
          <w:szCs w:val="24"/>
        </w:rPr>
        <w:t>,</w:t>
      </w:r>
      <w:r w:rsidR="0094712C">
        <w:rPr>
          <w:rFonts w:asciiTheme="minorHAnsi" w:hAnsiTheme="minorHAnsi" w:cstheme="minorHAnsi"/>
          <w:sz w:val="24"/>
          <w:szCs w:val="24"/>
        </w:rPr>
        <w:t xml:space="preserve"> and in that context determine </w:t>
      </w:r>
      <w:proofErr w:type="gramStart"/>
      <w:r w:rsidR="0094712C">
        <w:rPr>
          <w:rFonts w:asciiTheme="minorHAnsi" w:hAnsiTheme="minorHAnsi" w:cstheme="minorHAnsi"/>
          <w:sz w:val="24"/>
          <w:szCs w:val="24"/>
        </w:rPr>
        <w:t>whether or not</w:t>
      </w:r>
      <w:proofErr w:type="gramEnd"/>
      <w:r w:rsidR="0094712C">
        <w:rPr>
          <w:rFonts w:asciiTheme="minorHAnsi" w:hAnsiTheme="minorHAnsi" w:cstheme="minorHAnsi"/>
          <w:sz w:val="24"/>
          <w:szCs w:val="24"/>
        </w:rPr>
        <w:t xml:space="preserve"> distribution to a person outside of target market is appropriate.</w:t>
      </w:r>
      <w:r w:rsidR="006E3415">
        <w:rPr>
          <w:rFonts w:asciiTheme="minorHAnsi" w:hAnsiTheme="minorHAnsi" w:cstheme="minorHAnsi"/>
          <w:sz w:val="24"/>
          <w:szCs w:val="24"/>
        </w:rPr>
        <w:t xml:space="preserve"> </w:t>
      </w:r>
    </w:p>
    <w:p w14:paraId="32B7695F" w14:textId="7F0B9C37" w:rsidR="0046111F" w:rsidRDefault="006E3415" w:rsidP="00FD6F82">
      <w:pPr>
        <w:pStyle w:val="ListParagraph"/>
        <w:numPr>
          <w:ilvl w:val="1"/>
          <w:numId w:val="2"/>
        </w:numPr>
        <w:spacing w:before="60" w:after="60"/>
        <w:rPr>
          <w:rFonts w:asciiTheme="minorHAnsi" w:hAnsiTheme="minorHAnsi" w:cstheme="minorHAnsi"/>
          <w:sz w:val="24"/>
          <w:szCs w:val="24"/>
        </w:rPr>
      </w:pPr>
      <w:r>
        <w:rPr>
          <w:rFonts w:asciiTheme="minorHAnsi" w:hAnsiTheme="minorHAnsi" w:cstheme="minorHAnsi"/>
          <w:sz w:val="24"/>
          <w:szCs w:val="24"/>
        </w:rPr>
        <w:t>ASIC specifically contemplates financial advisers distributing outside target market, see RG 274.203: “</w:t>
      </w:r>
      <w:r w:rsidR="00FD6F82" w:rsidRPr="00FD6F82">
        <w:rPr>
          <w:rFonts w:asciiTheme="minorHAnsi" w:hAnsiTheme="minorHAnsi" w:cstheme="minorHAnsi"/>
          <w:sz w:val="24"/>
          <w:szCs w:val="24"/>
        </w:rPr>
        <w:t>It may be appropriate for a financial adviser to advise a consumer outside of the target market to acquire a financial product, when acquisition would be in the best interests of the consumer.</w:t>
      </w:r>
      <w:r>
        <w:rPr>
          <w:rFonts w:asciiTheme="minorHAnsi" w:hAnsiTheme="minorHAnsi" w:cstheme="minorHAnsi"/>
          <w:sz w:val="24"/>
          <w:szCs w:val="24"/>
        </w:rPr>
        <w:t>”</w:t>
      </w:r>
    </w:p>
    <w:p w14:paraId="5D198B0C" w14:textId="194CCA21" w:rsidR="00D703C3" w:rsidRDefault="003B2A88" w:rsidP="0046111F">
      <w:pPr>
        <w:pStyle w:val="ListParagraph"/>
        <w:numPr>
          <w:ilvl w:val="0"/>
          <w:numId w:val="2"/>
        </w:numPr>
        <w:spacing w:before="60" w:after="60"/>
        <w:rPr>
          <w:rFonts w:asciiTheme="minorHAnsi" w:hAnsiTheme="minorHAnsi" w:cstheme="minorHAnsi"/>
          <w:sz w:val="24"/>
          <w:szCs w:val="24"/>
        </w:rPr>
      </w:pPr>
      <w:r>
        <w:rPr>
          <w:rFonts w:asciiTheme="minorHAnsi" w:hAnsiTheme="minorHAnsi" w:cstheme="minorHAnsi"/>
          <w:sz w:val="24"/>
          <w:szCs w:val="24"/>
        </w:rPr>
        <w:t>D</w:t>
      </w:r>
      <w:r w:rsidR="00252FFB" w:rsidRPr="0046111F">
        <w:rPr>
          <w:rFonts w:asciiTheme="minorHAnsi" w:hAnsiTheme="minorHAnsi" w:cstheme="minorHAnsi"/>
          <w:sz w:val="24"/>
          <w:szCs w:val="24"/>
        </w:rPr>
        <w:t xml:space="preserve">istributors </w:t>
      </w:r>
      <w:r w:rsidR="006456E0">
        <w:rPr>
          <w:rFonts w:asciiTheme="minorHAnsi" w:hAnsiTheme="minorHAnsi" w:cstheme="minorHAnsi"/>
          <w:sz w:val="24"/>
          <w:szCs w:val="24"/>
        </w:rPr>
        <w:t xml:space="preserve">who do not provide personal financial advice </w:t>
      </w:r>
      <w:r w:rsidR="00252FFB" w:rsidRPr="0046111F">
        <w:rPr>
          <w:rFonts w:asciiTheme="minorHAnsi" w:hAnsiTheme="minorHAnsi" w:cstheme="minorHAnsi"/>
          <w:sz w:val="24"/>
          <w:szCs w:val="24"/>
        </w:rPr>
        <w:t xml:space="preserve">should take reasonable steps to </w:t>
      </w:r>
      <w:r w:rsidR="00D703C3" w:rsidRPr="0046111F">
        <w:rPr>
          <w:rFonts w:asciiTheme="minorHAnsi" w:hAnsiTheme="minorHAnsi" w:cstheme="minorHAnsi"/>
          <w:sz w:val="24"/>
          <w:szCs w:val="24"/>
        </w:rPr>
        <w:t>ensure distribution conduct is consistent with the TMD</w:t>
      </w:r>
      <w:r w:rsidR="00252FFB" w:rsidRPr="0046111F">
        <w:rPr>
          <w:rFonts w:asciiTheme="minorHAnsi" w:hAnsiTheme="minorHAnsi" w:cstheme="minorHAnsi"/>
          <w:sz w:val="24"/>
          <w:szCs w:val="24"/>
        </w:rPr>
        <w:t xml:space="preserve"> </w:t>
      </w:r>
      <w:r w:rsidR="002F2A94" w:rsidRPr="0046111F">
        <w:rPr>
          <w:rFonts w:asciiTheme="minorHAnsi" w:hAnsiTheme="minorHAnsi" w:cstheme="minorHAnsi"/>
          <w:sz w:val="24"/>
          <w:szCs w:val="24"/>
        </w:rPr>
        <w:t>(the exact legal wording is in s994</w:t>
      </w:r>
      <w:proofErr w:type="gramStart"/>
      <w:r w:rsidR="002F2A94" w:rsidRPr="0046111F">
        <w:rPr>
          <w:rFonts w:asciiTheme="minorHAnsi" w:hAnsiTheme="minorHAnsi" w:cstheme="minorHAnsi"/>
          <w:sz w:val="24"/>
          <w:szCs w:val="24"/>
        </w:rPr>
        <w:t>E(</w:t>
      </w:r>
      <w:proofErr w:type="gramEnd"/>
      <w:r w:rsidR="002F2A94" w:rsidRPr="0046111F">
        <w:rPr>
          <w:rFonts w:asciiTheme="minorHAnsi" w:hAnsiTheme="minorHAnsi" w:cstheme="minorHAnsi"/>
          <w:sz w:val="24"/>
          <w:szCs w:val="24"/>
        </w:rPr>
        <w:t>3) and (5)</w:t>
      </w:r>
      <w:r w:rsidR="00AF2526">
        <w:rPr>
          <w:rFonts w:asciiTheme="minorHAnsi" w:hAnsiTheme="minorHAnsi" w:cstheme="minorHAnsi"/>
          <w:sz w:val="24"/>
          <w:szCs w:val="24"/>
        </w:rPr>
        <w:t xml:space="preserve"> of the Act</w:t>
      </w:r>
      <w:r w:rsidR="002F2A94" w:rsidRPr="0046111F">
        <w:rPr>
          <w:rFonts w:asciiTheme="minorHAnsi" w:hAnsiTheme="minorHAnsi" w:cstheme="minorHAnsi"/>
          <w:sz w:val="24"/>
          <w:szCs w:val="24"/>
        </w:rPr>
        <w:t>)</w:t>
      </w:r>
      <w:r w:rsidR="00D703C3" w:rsidRPr="0046111F">
        <w:rPr>
          <w:rFonts w:asciiTheme="minorHAnsi" w:hAnsiTheme="minorHAnsi" w:cstheme="minorHAnsi"/>
          <w:sz w:val="24"/>
          <w:szCs w:val="24"/>
        </w:rPr>
        <w:t>.</w:t>
      </w:r>
      <w:r w:rsidR="007A6183">
        <w:rPr>
          <w:rFonts w:asciiTheme="minorHAnsi" w:hAnsiTheme="minorHAnsi" w:cstheme="minorHAnsi"/>
          <w:sz w:val="24"/>
          <w:szCs w:val="24"/>
        </w:rPr>
        <w:t xml:space="preserve"> In some cases, it may not be a ‘reasonable’ step to stop all distribution to </w:t>
      </w:r>
      <w:r w:rsidR="009031A2">
        <w:rPr>
          <w:rFonts w:asciiTheme="minorHAnsi" w:hAnsiTheme="minorHAnsi" w:cstheme="minorHAnsi"/>
          <w:sz w:val="24"/>
          <w:szCs w:val="24"/>
        </w:rPr>
        <w:t>consumers</w:t>
      </w:r>
      <w:r w:rsidR="007A6183">
        <w:rPr>
          <w:rFonts w:asciiTheme="minorHAnsi" w:hAnsiTheme="minorHAnsi" w:cstheme="minorHAnsi"/>
          <w:sz w:val="24"/>
          <w:szCs w:val="24"/>
        </w:rPr>
        <w:t xml:space="preserve"> who are outside a target market.</w:t>
      </w:r>
      <w:r w:rsidR="00ED47D4">
        <w:rPr>
          <w:rFonts w:asciiTheme="minorHAnsi" w:hAnsiTheme="minorHAnsi" w:cstheme="minorHAnsi"/>
          <w:sz w:val="24"/>
          <w:szCs w:val="24"/>
        </w:rPr>
        <w:t xml:space="preserve"> </w:t>
      </w:r>
    </w:p>
    <w:p w14:paraId="555BEE79" w14:textId="77777777" w:rsidR="00AC24FF" w:rsidRDefault="006E3415" w:rsidP="00504D5C">
      <w:pPr>
        <w:spacing w:before="60" w:after="60"/>
        <w:rPr>
          <w:sz w:val="24"/>
          <w:szCs w:val="24"/>
        </w:rPr>
      </w:pPr>
      <w:r>
        <w:rPr>
          <w:sz w:val="24"/>
          <w:szCs w:val="24"/>
        </w:rPr>
        <w:t>T</w:t>
      </w:r>
      <w:r w:rsidR="002F2A94">
        <w:rPr>
          <w:sz w:val="24"/>
          <w:szCs w:val="24"/>
        </w:rPr>
        <w:t>he Act specifically envisages circumstances where distribution outside a target market can occur, see s994</w:t>
      </w:r>
      <w:proofErr w:type="gramStart"/>
      <w:r w:rsidR="002F2A94">
        <w:rPr>
          <w:sz w:val="24"/>
          <w:szCs w:val="24"/>
        </w:rPr>
        <w:t>E(</w:t>
      </w:r>
      <w:proofErr w:type="gramEnd"/>
      <w:r w:rsidR="002F2A94">
        <w:rPr>
          <w:sz w:val="24"/>
          <w:szCs w:val="24"/>
        </w:rPr>
        <w:t xml:space="preserve">4): </w:t>
      </w:r>
      <w:r w:rsidR="009A2B99">
        <w:rPr>
          <w:sz w:val="24"/>
          <w:szCs w:val="24"/>
        </w:rPr>
        <w:t>a distributor “</w:t>
      </w:r>
      <w:r w:rsidR="009A2B99" w:rsidRPr="009A2B99">
        <w:rPr>
          <w:sz w:val="24"/>
          <w:szCs w:val="24"/>
        </w:rPr>
        <w:t>is not taken to have failed to take reasonable steps for the purpose of paragraph (3)(d) merely because a retail client who is not in the target market for the product acquires the product.</w:t>
      </w:r>
      <w:r w:rsidR="009A2B99">
        <w:rPr>
          <w:sz w:val="24"/>
          <w:szCs w:val="24"/>
        </w:rPr>
        <w:t>”</w:t>
      </w:r>
      <w:r w:rsidR="005E03EE">
        <w:rPr>
          <w:sz w:val="24"/>
          <w:szCs w:val="24"/>
        </w:rPr>
        <w:t xml:space="preserve"> </w:t>
      </w:r>
    </w:p>
    <w:p w14:paraId="6E59ED03" w14:textId="5C46CDA3" w:rsidR="00DC2E99" w:rsidRDefault="00C515BB" w:rsidP="009D093E">
      <w:pPr>
        <w:keepNext/>
        <w:spacing w:before="60" w:after="60"/>
        <w:rPr>
          <w:sz w:val="24"/>
          <w:szCs w:val="24"/>
        </w:rPr>
      </w:pPr>
      <w:r>
        <w:rPr>
          <w:sz w:val="24"/>
          <w:szCs w:val="24"/>
        </w:rPr>
        <w:lastRenderedPageBreak/>
        <w:t xml:space="preserve">However, we do note </w:t>
      </w:r>
      <w:r w:rsidR="005E03EE">
        <w:rPr>
          <w:sz w:val="24"/>
          <w:szCs w:val="24"/>
        </w:rPr>
        <w:t xml:space="preserve">ASIC </w:t>
      </w:r>
      <w:r>
        <w:rPr>
          <w:sz w:val="24"/>
          <w:szCs w:val="24"/>
        </w:rPr>
        <w:t>discourages distribution to customers outside of target market</w:t>
      </w:r>
      <w:r w:rsidR="00AC24FF">
        <w:rPr>
          <w:sz w:val="24"/>
          <w:szCs w:val="24"/>
        </w:rPr>
        <w:t xml:space="preserve">: </w:t>
      </w:r>
    </w:p>
    <w:p w14:paraId="39B75313" w14:textId="03BB5782" w:rsidR="005E03EE" w:rsidRDefault="005E03EE" w:rsidP="00DC2E99">
      <w:pPr>
        <w:pStyle w:val="ListParagraph"/>
        <w:numPr>
          <w:ilvl w:val="0"/>
          <w:numId w:val="2"/>
        </w:numPr>
        <w:spacing w:before="60" w:after="60"/>
        <w:rPr>
          <w:rFonts w:asciiTheme="minorHAnsi" w:hAnsiTheme="minorHAnsi" w:cstheme="minorHAnsi"/>
          <w:sz w:val="24"/>
          <w:szCs w:val="24"/>
        </w:rPr>
      </w:pPr>
      <w:r w:rsidRPr="00DC2E99">
        <w:rPr>
          <w:rFonts w:asciiTheme="minorHAnsi" w:hAnsiTheme="minorHAnsi" w:cstheme="minorHAnsi"/>
          <w:sz w:val="24"/>
          <w:szCs w:val="24"/>
        </w:rPr>
        <w:t>“a distributor must have effective systems and processes in place that are reasonably likely to avoid this result</w:t>
      </w:r>
      <w:r w:rsidR="00DC2E99" w:rsidRPr="00DC2E99">
        <w:rPr>
          <w:rFonts w:asciiTheme="minorHAnsi" w:hAnsiTheme="minorHAnsi" w:cstheme="minorHAnsi"/>
          <w:sz w:val="24"/>
          <w:szCs w:val="24"/>
        </w:rPr>
        <w:t xml:space="preserve"> [distribution outside of target market]</w:t>
      </w:r>
      <w:r w:rsidRPr="00DC2E99">
        <w:rPr>
          <w:rFonts w:asciiTheme="minorHAnsi" w:hAnsiTheme="minorHAnsi" w:cstheme="minorHAnsi"/>
          <w:sz w:val="24"/>
          <w:szCs w:val="24"/>
        </w:rPr>
        <w:t>”</w:t>
      </w:r>
      <w:r w:rsidR="0075572C" w:rsidRPr="00DC2E99">
        <w:rPr>
          <w:rFonts w:asciiTheme="minorHAnsi" w:hAnsiTheme="minorHAnsi" w:cstheme="minorHAnsi"/>
          <w:sz w:val="24"/>
          <w:szCs w:val="24"/>
        </w:rPr>
        <w:t>.</w:t>
      </w:r>
      <w:r w:rsidR="00C515BB">
        <w:rPr>
          <w:rFonts w:asciiTheme="minorHAnsi" w:hAnsiTheme="minorHAnsi" w:cstheme="minorHAnsi"/>
          <w:sz w:val="24"/>
          <w:szCs w:val="24"/>
        </w:rPr>
        <w:t xml:space="preserve"> (RG 274.174)</w:t>
      </w:r>
      <w:r w:rsidR="006917D8">
        <w:rPr>
          <w:rFonts w:asciiTheme="minorHAnsi" w:hAnsiTheme="minorHAnsi" w:cstheme="minorHAnsi"/>
          <w:sz w:val="24"/>
          <w:szCs w:val="24"/>
        </w:rPr>
        <w:t>.</w:t>
      </w:r>
    </w:p>
    <w:p w14:paraId="5B845606" w14:textId="16054737" w:rsidR="00DC2E99" w:rsidRPr="00DC2E99" w:rsidRDefault="009D093E" w:rsidP="00DC2E99">
      <w:pPr>
        <w:pStyle w:val="ListParagraph"/>
        <w:numPr>
          <w:ilvl w:val="0"/>
          <w:numId w:val="2"/>
        </w:numPr>
        <w:spacing w:before="60" w:after="60"/>
        <w:rPr>
          <w:rFonts w:asciiTheme="minorHAnsi" w:hAnsiTheme="minorHAnsi" w:cstheme="minorHAnsi"/>
          <w:sz w:val="24"/>
          <w:szCs w:val="24"/>
        </w:rPr>
      </w:pPr>
      <w:r>
        <w:rPr>
          <w:rFonts w:asciiTheme="minorHAnsi" w:hAnsiTheme="minorHAnsi" w:cstheme="minorHAnsi"/>
          <w:sz w:val="24"/>
          <w:szCs w:val="24"/>
        </w:rPr>
        <w:t>“</w:t>
      </w:r>
      <w:r w:rsidR="00213BA8">
        <w:rPr>
          <w:rFonts w:asciiTheme="minorHAnsi" w:hAnsiTheme="minorHAnsi" w:cstheme="minorHAnsi"/>
          <w:sz w:val="24"/>
          <w:szCs w:val="24"/>
        </w:rPr>
        <w:t xml:space="preserve">[If a distributor is aware a customer is outside target market] </w:t>
      </w:r>
      <w:r w:rsidR="00213BA8" w:rsidRPr="00213BA8">
        <w:rPr>
          <w:rFonts w:asciiTheme="minorHAnsi" w:hAnsiTheme="minorHAnsi" w:cstheme="minorHAnsi"/>
          <w:sz w:val="24"/>
          <w:szCs w:val="24"/>
        </w:rPr>
        <w:t>The distributor is not prevented from ultimately selling the consumer a financial product in such circumstances, provided reasonable steps are taken: see s994</w:t>
      </w:r>
      <w:proofErr w:type="gramStart"/>
      <w:r w:rsidR="00213BA8" w:rsidRPr="00213BA8">
        <w:rPr>
          <w:rFonts w:asciiTheme="minorHAnsi" w:hAnsiTheme="minorHAnsi" w:cstheme="minorHAnsi"/>
          <w:sz w:val="24"/>
          <w:szCs w:val="24"/>
        </w:rPr>
        <w:t>E(</w:t>
      </w:r>
      <w:proofErr w:type="gramEnd"/>
      <w:r w:rsidR="00213BA8" w:rsidRPr="00213BA8">
        <w:rPr>
          <w:rFonts w:asciiTheme="minorHAnsi" w:hAnsiTheme="minorHAnsi" w:cstheme="minorHAnsi"/>
          <w:sz w:val="24"/>
          <w:szCs w:val="24"/>
        </w:rPr>
        <w:t>4). However, a product that has been sold to consumers on multiple occasions when consumer harm is likely to result can indicate a failure to meet reasonable steps obligations.</w:t>
      </w:r>
      <w:r>
        <w:rPr>
          <w:rFonts w:asciiTheme="minorHAnsi" w:hAnsiTheme="minorHAnsi" w:cstheme="minorHAnsi"/>
          <w:sz w:val="24"/>
          <w:szCs w:val="24"/>
        </w:rPr>
        <w:t>”</w:t>
      </w:r>
      <w:r w:rsidR="00213BA8">
        <w:rPr>
          <w:rFonts w:asciiTheme="minorHAnsi" w:hAnsiTheme="minorHAnsi" w:cstheme="minorHAnsi"/>
          <w:sz w:val="24"/>
          <w:szCs w:val="24"/>
        </w:rPr>
        <w:t xml:space="preserve"> </w:t>
      </w:r>
      <w:r w:rsidR="00E03AE1">
        <w:rPr>
          <w:rFonts w:asciiTheme="minorHAnsi" w:hAnsiTheme="minorHAnsi" w:cstheme="minorHAnsi"/>
          <w:sz w:val="24"/>
          <w:szCs w:val="24"/>
        </w:rPr>
        <w:t>(</w:t>
      </w:r>
      <w:r w:rsidR="004F241D">
        <w:rPr>
          <w:rFonts w:asciiTheme="minorHAnsi" w:hAnsiTheme="minorHAnsi" w:cstheme="minorHAnsi"/>
          <w:sz w:val="24"/>
          <w:szCs w:val="24"/>
        </w:rPr>
        <w:t>RG 274.197)</w:t>
      </w:r>
      <w:r w:rsidR="006917D8">
        <w:rPr>
          <w:rFonts w:asciiTheme="minorHAnsi" w:hAnsiTheme="minorHAnsi" w:cstheme="minorHAnsi"/>
          <w:sz w:val="24"/>
          <w:szCs w:val="24"/>
        </w:rPr>
        <w:t>.</w:t>
      </w:r>
    </w:p>
    <w:p w14:paraId="50AA2EA1" w14:textId="77777777" w:rsidR="0046111F" w:rsidRDefault="0046111F" w:rsidP="00504D5C">
      <w:pPr>
        <w:spacing w:before="60" w:after="60"/>
        <w:rPr>
          <w:sz w:val="24"/>
          <w:szCs w:val="24"/>
        </w:rPr>
      </w:pPr>
    </w:p>
    <w:p w14:paraId="3E4AB79B" w14:textId="77777777" w:rsidR="009A2B99" w:rsidRDefault="009A2B99" w:rsidP="00504D5C">
      <w:pPr>
        <w:spacing w:before="60" w:after="60"/>
        <w:rPr>
          <w:sz w:val="24"/>
          <w:szCs w:val="24"/>
        </w:rPr>
      </w:pPr>
    </w:p>
    <w:p w14:paraId="64A4ECD1" w14:textId="37162CEE" w:rsidR="005518DA" w:rsidRDefault="005518DA">
      <w:pPr>
        <w:spacing w:after="160" w:line="259" w:lineRule="auto"/>
        <w:rPr>
          <w:b/>
          <w:bCs/>
        </w:rPr>
      </w:pPr>
    </w:p>
    <w:p w14:paraId="2D5484D4" w14:textId="7F32F74A" w:rsidR="0085451B" w:rsidRPr="00EA2BA1" w:rsidRDefault="0085451B">
      <w:pPr>
        <w:rPr>
          <w:b/>
          <w:bCs/>
          <w:sz w:val="24"/>
          <w:szCs w:val="24"/>
        </w:rPr>
      </w:pPr>
      <w:r w:rsidRPr="00EA2BA1">
        <w:rPr>
          <w:b/>
          <w:bCs/>
          <w:sz w:val="24"/>
          <w:szCs w:val="24"/>
        </w:rPr>
        <w:t>Copyright</w:t>
      </w:r>
      <w:r w:rsidR="00EA2BA1" w:rsidRPr="00EA2BA1">
        <w:rPr>
          <w:b/>
          <w:bCs/>
          <w:sz w:val="24"/>
          <w:szCs w:val="24"/>
        </w:rPr>
        <w:t xml:space="preserve"> and disclaimer</w:t>
      </w:r>
    </w:p>
    <w:p w14:paraId="69042AB6" w14:textId="66494B28" w:rsidR="0085451B" w:rsidRPr="00DD114B" w:rsidRDefault="0085451B" w:rsidP="005518DA">
      <w:pPr>
        <w:rPr>
          <w:i/>
          <w:iCs/>
        </w:rPr>
      </w:pPr>
      <w:r w:rsidRPr="00DD114B">
        <w:rPr>
          <w:i/>
          <w:iCs/>
        </w:rPr>
        <w:t>© 202</w:t>
      </w:r>
      <w:r w:rsidR="0029730F">
        <w:rPr>
          <w:i/>
          <w:iCs/>
        </w:rPr>
        <w:t>2</w:t>
      </w:r>
      <w:r w:rsidRPr="00DD114B">
        <w:rPr>
          <w:i/>
          <w:iCs/>
        </w:rPr>
        <w:t xml:space="preserve"> Financial Services Council Limited ABN 82 080 744 163.</w:t>
      </w:r>
    </w:p>
    <w:p w14:paraId="5FE7730A" w14:textId="77777777" w:rsidR="0085451B" w:rsidRPr="00DD114B" w:rsidRDefault="0085451B" w:rsidP="0085451B">
      <w:pPr>
        <w:pStyle w:val="Instructiontext"/>
        <w:rPr>
          <w:i/>
          <w:iCs/>
          <w:color w:val="auto"/>
        </w:rPr>
      </w:pPr>
    </w:p>
    <w:p w14:paraId="49B61303" w14:textId="07D89AC8" w:rsidR="0085451B" w:rsidRDefault="0085451B" w:rsidP="0085451B">
      <w:pPr>
        <w:rPr>
          <w:i/>
          <w:iCs/>
        </w:rPr>
      </w:pPr>
      <w:r w:rsidRPr="00DD114B">
        <w:rPr>
          <w:i/>
          <w:iCs/>
        </w:rPr>
        <w:t xml:space="preserve">The intellectual property rights in this document, including the copyright in the document, are owned </w:t>
      </w:r>
      <w:proofErr w:type="gramStart"/>
      <w:r w:rsidRPr="00DD114B">
        <w:rPr>
          <w:i/>
          <w:iCs/>
        </w:rPr>
        <w:t>by</w:t>
      </w:r>
      <w:proofErr w:type="gramEnd"/>
      <w:r w:rsidRPr="00DD114B">
        <w:rPr>
          <w:i/>
          <w:iCs/>
        </w:rPr>
        <w:t xml:space="preserve"> and retained by the FSC and its licensors.</w:t>
      </w:r>
    </w:p>
    <w:p w14:paraId="1BB6A687" w14:textId="491F418A" w:rsidR="00ED00CC" w:rsidRPr="00ED00CC" w:rsidRDefault="00ED00CC" w:rsidP="0085451B">
      <w:pPr>
        <w:rPr>
          <w:i/>
          <w:iCs/>
        </w:rPr>
      </w:pPr>
    </w:p>
    <w:p w14:paraId="5BC5E76F" w14:textId="47442452" w:rsidR="00ED00CC" w:rsidRPr="00ED00CC" w:rsidRDefault="00ED00CC" w:rsidP="00ED00CC">
      <w:pPr>
        <w:rPr>
          <w:i/>
          <w:iCs/>
        </w:rPr>
      </w:pPr>
      <w:r w:rsidRPr="00ED00CC">
        <w:rPr>
          <w:i/>
          <w:iCs/>
        </w:rPr>
        <w:t xml:space="preserve">Users of this document acknowledge and agree that the information contained in this document has been collated and prepared by the FSC for the sole purpose of assisting Members to manage their compliance with Part 7.8A of the Act. The information contained in this document is based on current sources and practice as </w:t>
      </w:r>
      <w:proofErr w:type="gramStart"/>
      <w:r w:rsidRPr="00ED00CC">
        <w:rPr>
          <w:i/>
          <w:iCs/>
        </w:rPr>
        <w:t>at</w:t>
      </w:r>
      <w:proofErr w:type="gramEnd"/>
      <w:r w:rsidRPr="00ED00CC">
        <w:rPr>
          <w:i/>
          <w:iCs/>
        </w:rPr>
        <w:t xml:space="preserve"> 2021. The information contained in this document may need to be updated and revised as new sources of information emerge or practices change over time. </w:t>
      </w:r>
    </w:p>
    <w:p w14:paraId="524C69C9" w14:textId="77777777" w:rsidR="00ED00CC" w:rsidRPr="00ED00CC" w:rsidRDefault="00ED00CC" w:rsidP="00ED00CC">
      <w:pPr>
        <w:rPr>
          <w:i/>
          <w:iCs/>
        </w:rPr>
      </w:pPr>
    </w:p>
    <w:p w14:paraId="58832367" w14:textId="77777777" w:rsidR="00ED00CC" w:rsidRPr="00ED00CC" w:rsidRDefault="00ED00CC" w:rsidP="00ED00CC">
      <w:pPr>
        <w:rPr>
          <w:i/>
          <w:iCs/>
        </w:rPr>
      </w:pPr>
      <w:r w:rsidRPr="00ED00CC">
        <w:rPr>
          <w:i/>
          <w:iCs/>
        </w:rPr>
        <w:t xml:space="preserve">Users should use their own judgment when making use of this material and should carefully evaluate its currency, </w:t>
      </w:r>
      <w:proofErr w:type="gramStart"/>
      <w:r w:rsidRPr="00ED00CC">
        <w:rPr>
          <w:i/>
          <w:iCs/>
        </w:rPr>
        <w:t>completeness</w:t>
      </w:r>
      <w:proofErr w:type="gramEnd"/>
      <w:r w:rsidRPr="00ED00CC">
        <w:rPr>
          <w:i/>
          <w:iCs/>
        </w:rPr>
        <w:t xml:space="preserve"> and relevance for their own purposes as well as the extent to which this material can or should be modified to suit the User’s products. </w:t>
      </w:r>
    </w:p>
    <w:p w14:paraId="39F20906" w14:textId="77777777" w:rsidR="00ED00CC" w:rsidRPr="00ED00CC" w:rsidRDefault="00ED00CC" w:rsidP="00ED00CC">
      <w:pPr>
        <w:rPr>
          <w:i/>
          <w:iCs/>
        </w:rPr>
      </w:pPr>
    </w:p>
    <w:p w14:paraId="4B914AA8" w14:textId="4DEA4288" w:rsidR="00EA2BA1" w:rsidRPr="002F6C08" w:rsidRDefault="00ED00CC" w:rsidP="00EA2BA1">
      <w:pPr>
        <w:rPr>
          <w:i/>
          <w:iCs/>
        </w:rPr>
      </w:pPr>
      <w:r w:rsidRPr="00ED00CC">
        <w:rPr>
          <w:i/>
          <w:iCs/>
        </w:rPr>
        <w:t>While steps have been taken to ensure the accuracy of the information contained in this document, the FSC does not guarantee, and accepts no legal liability whatsoever or howsoever arising from or connected to, the accuracy, currency, completeness of any material contained in this document (including any liability that may flow directly or indirectly from the modification of the information contained in this document) and makes no warranties as to suitability for you or non-infringement or for  compliance with the TMD content requirements under Part 7.8A of the Act.</w:t>
      </w:r>
    </w:p>
    <w:sectPr w:rsidR="00EA2BA1" w:rsidRPr="002F6C08" w:rsidSect="008E3794">
      <w:headerReference w:type="default" r:id="rId13"/>
      <w:footerReference w:type="default" r:id="rId14"/>
      <w:footerReference w:type="first" r:id="rId15"/>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BA8B" w14:textId="77777777" w:rsidR="006C150C" w:rsidRDefault="006C150C" w:rsidP="00504D5C">
      <w:r>
        <w:separator/>
      </w:r>
    </w:p>
  </w:endnote>
  <w:endnote w:type="continuationSeparator" w:id="0">
    <w:p w14:paraId="390A3D65" w14:textId="77777777" w:rsidR="006C150C" w:rsidRDefault="006C150C" w:rsidP="00504D5C">
      <w:r>
        <w:continuationSeparator/>
      </w:r>
    </w:p>
  </w:endnote>
  <w:endnote w:type="continuationNotice" w:id="1">
    <w:p w14:paraId="3FB86673" w14:textId="77777777" w:rsidR="00D2431E" w:rsidRDefault="00D24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0C8" w14:textId="10BBBBDF" w:rsidR="00D57E1C" w:rsidRDefault="00F53650" w:rsidP="00AF3CFB">
    <w:pPr>
      <w:pStyle w:val="Footer"/>
      <w:jc w:val="right"/>
      <w:rPr>
        <w:noProof/>
      </w:rPr>
    </w:pPr>
    <w:r w:rsidRPr="00F53650">
      <w:t>© 202</w:t>
    </w:r>
    <w:r w:rsidR="008E3794">
      <w:t>2</w:t>
    </w:r>
    <w:r w:rsidRPr="00F53650">
      <w:t xml:space="preserve"> Financial Services Council Limited ABN 82 080 744 163</w:t>
    </w:r>
    <w:r w:rsidR="00A70CF9">
      <w:tab/>
    </w:r>
    <w:sdt>
      <w:sdtPr>
        <w:id w:val="-1172483371"/>
        <w:docPartObj>
          <w:docPartGallery w:val="Page Numbers (Bottom of Page)"/>
          <w:docPartUnique/>
        </w:docPartObj>
      </w:sdtPr>
      <w:sdtEndPr>
        <w:rPr>
          <w:noProof/>
        </w:rPr>
      </w:sdtEndPr>
      <w:sdtContent>
        <w:r w:rsidR="00A70CF9">
          <w:t xml:space="preserve">Page </w:t>
        </w:r>
        <w:r w:rsidR="00A70CF9">
          <w:fldChar w:fldCharType="begin"/>
        </w:r>
        <w:r w:rsidR="00A70CF9">
          <w:instrText xml:space="preserve"> PAGE   \* MERGEFORMAT </w:instrText>
        </w:r>
        <w:r w:rsidR="00A70CF9">
          <w:fldChar w:fldCharType="separate"/>
        </w:r>
        <w:r w:rsidR="00A70CF9">
          <w:t>1</w:t>
        </w:r>
        <w:r w:rsidR="00A70CF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1A72" w14:textId="03B8BF45" w:rsidR="00E31B31" w:rsidRDefault="00E31B31" w:rsidP="00E31B31">
    <w:pPr>
      <w:pStyle w:val="Footer"/>
      <w:jc w:val="right"/>
      <w:rPr>
        <w:noProof/>
      </w:rPr>
    </w:pPr>
    <w:r w:rsidRPr="00F53650">
      <w:t>© 202</w:t>
    </w:r>
    <w:r w:rsidR="008E3794">
      <w:t>2</w:t>
    </w:r>
    <w:r w:rsidRPr="00F53650">
      <w:t xml:space="preserve"> Financial Services Council Limited </w:t>
    </w:r>
    <w:r w:rsidR="008E3794">
      <w:t xml:space="preserve">  </w:t>
    </w:r>
    <w:r w:rsidRPr="00F53650">
      <w:t>ABN 82 080 744 163</w:t>
    </w:r>
    <w:r>
      <w:tab/>
    </w:r>
    <w:sdt>
      <w:sdtPr>
        <w:id w:val="-40132391"/>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280C" w14:textId="77777777" w:rsidR="006C150C" w:rsidRDefault="006C150C" w:rsidP="00504D5C">
      <w:r>
        <w:separator/>
      </w:r>
    </w:p>
  </w:footnote>
  <w:footnote w:type="continuationSeparator" w:id="0">
    <w:p w14:paraId="5A67EAD9" w14:textId="77777777" w:rsidR="006C150C" w:rsidRDefault="006C150C" w:rsidP="00504D5C">
      <w:r>
        <w:continuationSeparator/>
      </w:r>
    </w:p>
  </w:footnote>
  <w:footnote w:type="continuationNotice" w:id="1">
    <w:p w14:paraId="0908DB28" w14:textId="77777777" w:rsidR="00D2431E" w:rsidRDefault="00D24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8B2" w14:textId="28E786FE" w:rsidR="00504D5C" w:rsidRDefault="00AF3CFB" w:rsidP="00AF3CFB">
    <w:pPr>
      <w:pStyle w:val="Header"/>
      <w:jc w:val="center"/>
    </w:pPr>
    <w:r w:rsidRPr="00AF3CFB">
      <w:t xml:space="preserve"> </w:t>
    </w:r>
    <w:r w:rsidRPr="00AF3CFB">
      <w:rPr>
        <w:b/>
        <w:bCs/>
        <w:sz w:val="28"/>
        <w:szCs w:val="28"/>
      </w:rPr>
      <w:t>FSC guidance</w:t>
    </w:r>
    <w:r w:rsidR="009052D9">
      <w:rPr>
        <w:b/>
        <w:bCs/>
        <w:sz w:val="28"/>
        <w:szCs w:val="28"/>
      </w:rPr>
      <w:t xml:space="preserve"> for distribution of managed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536"/>
    <w:multiLevelType w:val="hybridMultilevel"/>
    <w:tmpl w:val="39BAF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648F3"/>
    <w:multiLevelType w:val="hybridMultilevel"/>
    <w:tmpl w:val="C9C4F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059EF"/>
    <w:multiLevelType w:val="hybridMultilevel"/>
    <w:tmpl w:val="01B85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6671F57"/>
    <w:multiLevelType w:val="hybridMultilevel"/>
    <w:tmpl w:val="18DE6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92605F"/>
    <w:multiLevelType w:val="hybridMultilevel"/>
    <w:tmpl w:val="EA18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8936108">
    <w:abstractNumId w:val="2"/>
  </w:num>
  <w:num w:numId="2" w16cid:durableId="1193348936">
    <w:abstractNumId w:val="3"/>
  </w:num>
  <w:num w:numId="3" w16cid:durableId="2133162033">
    <w:abstractNumId w:val="0"/>
  </w:num>
  <w:num w:numId="4" w16cid:durableId="1064719174">
    <w:abstractNumId w:val="1"/>
  </w:num>
  <w:num w:numId="5" w16cid:durableId="1736590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5C"/>
    <w:rsid w:val="00003EFC"/>
    <w:rsid w:val="00023A83"/>
    <w:rsid w:val="00025FEF"/>
    <w:rsid w:val="000446C5"/>
    <w:rsid w:val="00045001"/>
    <w:rsid w:val="000474B7"/>
    <w:rsid w:val="00080E5A"/>
    <w:rsid w:val="000811E3"/>
    <w:rsid w:val="00085801"/>
    <w:rsid w:val="0009513C"/>
    <w:rsid w:val="00097486"/>
    <w:rsid w:val="000C1E70"/>
    <w:rsid w:val="000D3911"/>
    <w:rsid w:val="000F22B9"/>
    <w:rsid w:val="001102D3"/>
    <w:rsid w:val="00133683"/>
    <w:rsid w:val="00157D91"/>
    <w:rsid w:val="0016591F"/>
    <w:rsid w:val="001A4088"/>
    <w:rsid w:val="001C320D"/>
    <w:rsid w:val="001C66CF"/>
    <w:rsid w:val="001E3561"/>
    <w:rsid w:val="00213BA8"/>
    <w:rsid w:val="002406D9"/>
    <w:rsid w:val="00252FFB"/>
    <w:rsid w:val="00262F46"/>
    <w:rsid w:val="00265907"/>
    <w:rsid w:val="00294460"/>
    <w:rsid w:val="0029730F"/>
    <w:rsid w:val="002A0C5E"/>
    <w:rsid w:val="002C4B4D"/>
    <w:rsid w:val="002E22A9"/>
    <w:rsid w:val="002F2A94"/>
    <w:rsid w:val="002F5898"/>
    <w:rsid w:val="002F6C08"/>
    <w:rsid w:val="003320DB"/>
    <w:rsid w:val="00333628"/>
    <w:rsid w:val="00342549"/>
    <w:rsid w:val="00343775"/>
    <w:rsid w:val="003672D4"/>
    <w:rsid w:val="00373563"/>
    <w:rsid w:val="00373A35"/>
    <w:rsid w:val="00391AAE"/>
    <w:rsid w:val="003B2A88"/>
    <w:rsid w:val="003C5B56"/>
    <w:rsid w:val="003E009E"/>
    <w:rsid w:val="003F6A20"/>
    <w:rsid w:val="00404993"/>
    <w:rsid w:val="004072C9"/>
    <w:rsid w:val="004251DA"/>
    <w:rsid w:val="004360D3"/>
    <w:rsid w:val="004363DF"/>
    <w:rsid w:val="00441E75"/>
    <w:rsid w:val="00445A37"/>
    <w:rsid w:val="004460F5"/>
    <w:rsid w:val="00446C1A"/>
    <w:rsid w:val="004473A0"/>
    <w:rsid w:val="0046111F"/>
    <w:rsid w:val="00461CE2"/>
    <w:rsid w:val="00470CE2"/>
    <w:rsid w:val="00487804"/>
    <w:rsid w:val="004B1366"/>
    <w:rsid w:val="004B16FD"/>
    <w:rsid w:val="004B7026"/>
    <w:rsid w:val="004C2489"/>
    <w:rsid w:val="004C65BB"/>
    <w:rsid w:val="004D0C2D"/>
    <w:rsid w:val="004D1E91"/>
    <w:rsid w:val="004E2E0B"/>
    <w:rsid w:val="004E5DA5"/>
    <w:rsid w:val="004F10B8"/>
    <w:rsid w:val="004F1A2D"/>
    <w:rsid w:val="004F241D"/>
    <w:rsid w:val="00504D5C"/>
    <w:rsid w:val="00542D3D"/>
    <w:rsid w:val="00547F68"/>
    <w:rsid w:val="005518DA"/>
    <w:rsid w:val="0055268A"/>
    <w:rsid w:val="00552821"/>
    <w:rsid w:val="005555F8"/>
    <w:rsid w:val="00573B7A"/>
    <w:rsid w:val="0057774A"/>
    <w:rsid w:val="005A7554"/>
    <w:rsid w:val="005C4D80"/>
    <w:rsid w:val="005E03EE"/>
    <w:rsid w:val="005E2005"/>
    <w:rsid w:val="005E5D6D"/>
    <w:rsid w:val="005F62E5"/>
    <w:rsid w:val="005F6CA1"/>
    <w:rsid w:val="00614EFD"/>
    <w:rsid w:val="00634CED"/>
    <w:rsid w:val="00637B1E"/>
    <w:rsid w:val="006456E0"/>
    <w:rsid w:val="00665458"/>
    <w:rsid w:val="0067797D"/>
    <w:rsid w:val="00686228"/>
    <w:rsid w:val="006917D8"/>
    <w:rsid w:val="006A0A1E"/>
    <w:rsid w:val="006A22E5"/>
    <w:rsid w:val="006B1B1B"/>
    <w:rsid w:val="006C150C"/>
    <w:rsid w:val="006D3A3B"/>
    <w:rsid w:val="006E3415"/>
    <w:rsid w:val="006F5386"/>
    <w:rsid w:val="007246D2"/>
    <w:rsid w:val="00741D75"/>
    <w:rsid w:val="0075572C"/>
    <w:rsid w:val="00757A42"/>
    <w:rsid w:val="00757E58"/>
    <w:rsid w:val="00760BA5"/>
    <w:rsid w:val="007622DF"/>
    <w:rsid w:val="007654D3"/>
    <w:rsid w:val="0076751A"/>
    <w:rsid w:val="007963AC"/>
    <w:rsid w:val="007A47D3"/>
    <w:rsid w:val="007A6183"/>
    <w:rsid w:val="007B5DC0"/>
    <w:rsid w:val="007D23AD"/>
    <w:rsid w:val="007F37B8"/>
    <w:rsid w:val="00807871"/>
    <w:rsid w:val="00814A6C"/>
    <w:rsid w:val="00827255"/>
    <w:rsid w:val="0085451B"/>
    <w:rsid w:val="00874F2A"/>
    <w:rsid w:val="00892D03"/>
    <w:rsid w:val="008B224E"/>
    <w:rsid w:val="008B3FE0"/>
    <w:rsid w:val="008B5EDB"/>
    <w:rsid w:val="008E3794"/>
    <w:rsid w:val="008F4095"/>
    <w:rsid w:val="009031A2"/>
    <w:rsid w:val="009052D9"/>
    <w:rsid w:val="0090624D"/>
    <w:rsid w:val="009065F7"/>
    <w:rsid w:val="00912880"/>
    <w:rsid w:val="00916094"/>
    <w:rsid w:val="00924A9D"/>
    <w:rsid w:val="0094712C"/>
    <w:rsid w:val="00961120"/>
    <w:rsid w:val="00970319"/>
    <w:rsid w:val="0097143E"/>
    <w:rsid w:val="00992186"/>
    <w:rsid w:val="00994CA3"/>
    <w:rsid w:val="009A2B99"/>
    <w:rsid w:val="009C51AE"/>
    <w:rsid w:val="009D093E"/>
    <w:rsid w:val="009E32C0"/>
    <w:rsid w:val="009F5475"/>
    <w:rsid w:val="00A070D4"/>
    <w:rsid w:val="00A07347"/>
    <w:rsid w:val="00A21BA1"/>
    <w:rsid w:val="00A305E4"/>
    <w:rsid w:val="00A50241"/>
    <w:rsid w:val="00A62174"/>
    <w:rsid w:val="00A70CF9"/>
    <w:rsid w:val="00A71796"/>
    <w:rsid w:val="00AC24FF"/>
    <w:rsid w:val="00AD2840"/>
    <w:rsid w:val="00AF2526"/>
    <w:rsid w:val="00AF3720"/>
    <w:rsid w:val="00AF3CFB"/>
    <w:rsid w:val="00B026EB"/>
    <w:rsid w:val="00B06400"/>
    <w:rsid w:val="00B259C8"/>
    <w:rsid w:val="00B46731"/>
    <w:rsid w:val="00B51180"/>
    <w:rsid w:val="00B81373"/>
    <w:rsid w:val="00B824DD"/>
    <w:rsid w:val="00B910E2"/>
    <w:rsid w:val="00BA4C69"/>
    <w:rsid w:val="00BC5E74"/>
    <w:rsid w:val="00BE7328"/>
    <w:rsid w:val="00C112EE"/>
    <w:rsid w:val="00C11C1B"/>
    <w:rsid w:val="00C145AC"/>
    <w:rsid w:val="00C348EB"/>
    <w:rsid w:val="00C515BB"/>
    <w:rsid w:val="00C522DA"/>
    <w:rsid w:val="00CA07DE"/>
    <w:rsid w:val="00CB5749"/>
    <w:rsid w:val="00CC411F"/>
    <w:rsid w:val="00CC50C0"/>
    <w:rsid w:val="00CC7340"/>
    <w:rsid w:val="00CE674E"/>
    <w:rsid w:val="00D13FF0"/>
    <w:rsid w:val="00D166A4"/>
    <w:rsid w:val="00D2431E"/>
    <w:rsid w:val="00D30DFE"/>
    <w:rsid w:val="00D455E8"/>
    <w:rsid w:val="00D4580D"/>
    <w:rsid w:val="00D46356"/>
    <w:rsid w:val="00D532E0"/>
    <w:rsid w:val="00D57E1C"/>
    <w:rsid w:val="00D67068"/>
    <w:rsid w:val="00D703C3"/>
    <w:rsid w:val="00D7229F"/>
    <w:rsid w:val="00D77E8F"/>
    <w:rsid w:val="00D855E1"/>
    <w:rsid w:val="00D9506B"/>
    <w:rsid w:val="00DB47E5"/>
    <w:rsid w:val="00DC2E99"/>
    <w:rsid w:val="00DC5897"/>
    <w:rsid w:val="00DE2874"/>
    <w:rsid w:val="00E03AE1"/>
    <w:rsid w:val="00E06D64"/>
    <w:rsid w:val="00E26E29"/>
    <w:rsid w:val="00E27E57"/>
    <w:rsid w:val="00E31B31"/>
    <w:rsid w:val="00E6604D"/>
    <w:rsid w:val="00E70816"/>
    <w:rsid w:val="00E80745"/>
    <w:rsid w:val="00E8786B"/>
    <w:rsid w:val="00EA2BA1"/>
    <w:rsid w:val="00EC498A"/>
    <w:rsid w:val="00ED00CC"/>
    <w:rsid w:val="00ED0D67"/>
    <w:rsid w:val="00ED47D4"/>
    <w:rsid w:val="00ED5ED6"/>
    <w:rsid w:val="00EE4600"/>
    <w:rsid w:val="00EE61B9"/>
    <w:rsid w:val="00F04A65"/>
    <w:rsid w:val="00F11E39"/>
    <w:rsid w:val="00F16ED4"/>
    <w:rsid w:val="00F170E5"/>
    <w:rsid w:val="00F357D6"/>
    <w:rsid w:val="00F37A6B"/>
    <w:rsid w:val="00F50625"/>
    <w:rsid w:val="00F519C8"/>
    <w:rsid w:val="00F534C7"/>
    <w:rsid w:val="00F53650"/>
    <w:rsid w:val="00F572E4"/>
    <w:rsid w:val="00F62BAD"/>
    <w:rsid w:val="00F73EEA"/>
    <w:rsid w:val="00F74D6A"/>
    <w:rsid w:val="00F82A67"/>
    <w:rsid w:val="00F97287"/>
    <w:rsid w:val="00FD6F82"/>
    <w:rsid w:val="00FF0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1AB98"/>
  <w15:chartTrackingRefBased/>
  <w15:docId w15:val="{811DB189-2C6E-4E6D-8AFD-6A1FA277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04D5C"/>
    <w:rPr>
      <w:rFonts w:ascii="Garamond" w:hAnsi="Garamond"/>
    </w:rPr>
  </w:style>
  <w:style w:type="paragraph" w:styleId="ListParagraph">
    <w:name w:val="List Paragraph"/>
    <w:basedOn w:val="Normal"/>
    <w:link w:val="ListParagraphChar"/>
    <w:uiPriority w:val="34"/>
    <w:qFormat/>
    <w:rsid w:val="00504D5C"/>
    <w:pPr>
      <w:ind w:left="720"/>
      <w:contextualSpacing/>
    </w:pPr>
    <w:rPr>
      <w:rFonts w:ascii="Garamond" w:hAnsi="Garamond" w:cstheme="minorBidi"/>
    </w:rPr>
  </w:style>
  <w:style w:type="paragraph" w:styleId="Header">
    <w:name w:val="header"/>
    <w:basedOn w:val="Normal"/>
    <w:link w:val="HeaderChar"/>
    <w:uiPriority w:val="99"/>
    <w:unhideWhenUsed/>
    <w:rsid w:val="00504D5C"/>
    <w:pPr>
      <w:tabs>
        <w:tab w:val="center" w:pos="4513"/>
        <w:tab w:val="right" w:pos="9026"/>
      </w:tabs>
    </w:pPr>
  </w:style>
  <w:style w:type="character" w:customStyle="1" w:styleId="HeaderChar">
    <w:name w:val="Header Char"/>
    <w:basedOn w:val="DefaultParagraphFont"/>
    <w:link w:val="Header"/>
    <w:uiPriority w:val="99"/>
    <w:rsid w:val="00504D5C"/>
    <w:rPr>
      <w:rFonts w:ascii="Calibri" w:hAnsi="Calibri" w:cs="Calibri"/>
    </w:rPr>
  </w:style>
  <w:style w:type="paragraph" w:styleId="Footer">
    <w:name w:val="footer"/>
    <w:basedOn w:val="Normal"/>
    <w:link w:val="FooterChar"/>
    <w:uiPriority w:val="99"/>
    <w:unhideWhenUsed/>
    <w:rsid w:val="00504D5C"/>
    <w:pPr>
      <w:tabs>
        <w:tab w:val="center" w:pos="4513"/>
        <w:tab w:val="right" w:pos="9026"/>
      </w:tabs>
    </w:pPr>
  </w:style>
  <w:style w:type="character" w:customStyle="1" w:styleId="FooterChar">
    <w:name w:val="Footer Char"/>
    <w:basedOn w:val="DefaultParagraphFont"/>
    <w:link w:val="Footer"/>
    <w:uiPriority w:val="99"/>
    <w:rsid w:val="00504D5C"/>
    <w:rPr>
      <w:rFonts w:ascii="Calibri" w:hAnsi="Calibri" w:cs="Calibri"/>
    </w:rPr>
  </w:style>
  <w:style w:type="paragraph" w:customStyle="1" w:styleId="Instructiontext">
    <w:name w:val="Instruction text"/>
    <w:basedOn w:val="Normal"/>
    <w:qFormat/>
    <w:rsid w:val="0085451B"/>
    <w:rPr>
      <w:rFonts w:ascii="Garamond" w:eastAsia="Times New Roman" w:hAnsi="Garamond" w:cs="Times New Roman"/>
      <w:color w:val="44546A" w:themeColor="text2"/>
      <w:sz w:val="24"/>
      <w:szCs w:val="20"/>
    </w:rPr>
  </w:style>
  <w:style w:type="paragraph" w:styleId="Revision">
    <w:name w:val="Revision"/>
    <w:hidden/>
    <w:uiPriority w:val="99"/>
    <w:semiHidden/>
    <w:rsid w:val="007B5DC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84430">
      <w:bodyDiv w:val="1"/>
      <w:marLeft w:val="0"/>
      <w:marRight w:val="0"/>
      <w:marTop w:val="0"/>
      <w:marBottom w:val="0"/>
      <w:divBdr>
        <w:top w:val="none" w:sz="0" w:space="0" w:color="auto"/>
        <w:left w:val="none" w:sz="0" w:space="0" w:color="auto"/>
        <w:bottom w:val="none" w:sz="0" w:space="0" w:color="auto"/>
        <w:right w:val="none" w:sz="0" w:space="0" w:color="auto"/>
      </w:divBdr>
    </w:div>
    <w:div w:id="18866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Users/fionapinney/Dropbox/Freelance/Financial%20Services%20Council/FSC/Logo%20Files/FSC_Logo_CMYK.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f858bcc-781a-4871-b956-280e8ce0681f" xsi:nil="true"/>
    <lcf76f155ced4ddcb4097134ff3c332f xmlns="97d31cbd-d320-403c-8a6a-e1c61c6e0a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6" ma:contentTypeDescription="Create a new document." ma:contentTypeScope="" ma:versionID="643ad583b0662399f306588680def451">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ee1685b421bdebd19992c2f2156446bd"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dd92e8-b846-4015-869b-3ee6981cc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d48957-f1cf-4eee-8611-3725740a3301}" ma:internalName="TaxCatchAll" ma:showField="CatchAllData" ma:web="1f858bcc-781a-4871-b956-280e8ce06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18146-6DC3-4B06-903C-79350FD77AB9}">
  <ds:schemaRefs>
    <ds:schemaRef ds:uri="http://schemas.openxmlformats.org/officeDocument/2006/bibliography"/>
  </ds:schemaRefs>
</ds:datastoreItem>
</file>

<file path=customXml/itemProps2.xml><?xml version="1.0" encoding="utf-8"?>
<ds:datastoreItem xmlns:ds="http://schemas.openxmlformats.org/officeDocument/2006/customXml" ds:itemID="{8ABED27B-BFA5-46ED-A544-805D58056C0C}">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f858bcc-781a-4871-b956-280e8ce0681f"/>
    <ds:schemaRef ds:uri="97d31cbd-d320-403c-8a6a-e1c61c6e0af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CF936D1-4C51-4A34-B628-EFCAC8A3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F30EB-457F-4F3E-83E4-9CC7EAAF2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Potter</dc:creator>
  <cp:keywords/>
  <dc:description/>
  <cp:lastModifiedBy>Michael Potter</cp:lastModifiedBy>
  <cp:revision>2</cp:revision>
  <dcterms:created xsi:type="dcterms:W3CDTF">2022-08-25T03:38:00Z</dcterms:created>
  <dcterms:modified xsi:type="dcterms:W3CDTF">2022-08-25T03:38:00Z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8a056e-981a-4d0b-83ea-062214276430_Enabled">
    <vt:lpwstr>true</vt:lpwstr>
  </property>
  <property fmtid="{D5CDD505-2E9C-101B-9397-08002B2CF9AE}" pid="3" name="MSIP_Label_7d8a056e-981a-4d0b-83ea-062214276430_SetDate">
    <vt:lpwstr>2021-09-16T00:49:27Z</vt:lpwstr>
  </property>
  <property fmtid="{D5CDD505-2E9C-101B-9397-08002B2CF9AE}" pid="4" name="MSIP_Label_7d8a056e-981a-4d0b-83ea-062214276430_Method">
    <vt:lpwstr>Standard</vt:lpwstr>
  </property>
  <property fmtid="{D5CDD505-2E9C-101B-9397-08002B2CF9AE}" pid="5" name="MSIP_Label_7d8a056e-981a-4d0b-83ea-062214276430_Name">
    <vt:lpwstr>General</vt:lpwstr>
  </property>
  <property fmtid="{D5CDD505-2E9C-101B-9397-08002B2CF9AE}" pid="6" name="MSIP_Label_7d8a056e-981a-4d0b-83ea-062214276430_SiteId">
    <vt:lpwstr>c64d49cd-d138-4cdb-a5d4-324a4040c74a</vt:lpwstr>
  </property>
  <property fmtid="{D5CDD505-2E9C-101B-9397-08002B2CF9AE}" pid="7" name="MSIP_Label_7d8a056e-981a-4d0b-83ea-062214276430_ActionId">
    <vt:lpwstr>cb7178fe-5964-43d6-9648-c990eb9f0933</vt:lpwstr>
  </property>
  <property fmtid="{D5CDD505-2E9C-101B-9397-08002B2CF9AE}" pid="8" name="MSIP_Label_7d8a056e-981a-4d0b-83ea-062214276430_ContentBits">
    <vt:lpwstr>0</vt:lpwstr>
  </property>
  <property fmtid="{D5CDD505-2E9C-101B-9397-08002B2CF9AE}" pid="9" name="ContentTypeId">
    <vt:lpwstr>0x01010052AB576E7C94F44C8DDE30F0C5631322</vt:lpwstr>
  </property>
  <property fmtid="{D5CDD505-2E9C-101B-9397-08002B2CF9AE}" pid="10" name="MediaServiceImageTags">
    <vt:lpwstr/>
  </property>
</Properties>
</file>